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9"/>
        </w:tabs>
        <w:spacing w:after="0"/>
        <w:rPr>
          <w:rFonts w:hint="default" w:eastAsiaTheme="minorEastAsia"/>
          <w:b/>
          <w:i/>
          <w:sz w:val="28"/>
          <w:lang w:val="en-US" w:eastAsia="zh-CN"/>
        </w:rPr>
      </w:pPr>
      <w:r>
        <w:rPr>
          <w:rFonts w:cs="Arial"/>
          <w:b/>
          <w:bCs/>
          <w:sz w:val="24"/>
          <w:szCs w:val="24"/>
        </w:rPr>
        <w:t>3GPP TSG-RAN WG3 Meeting #11</w:t>
      </w:r>
      <w:r>
        <w:rPr>
          <w:rFonts w:hint="default" w:cs="Arial"/>
          <w:b/>
          <w:bCs/>
          <w:sz w:val="24"/>
          <w:szCs w:val="24"/>
          <w:lang w:val="en-US"/>
        </w:rPr>
        <w:t>9</w:t>
      </w:r>
      <w:r>
        <w:rPr>
          <w:b/>
          <w:i/>
          <w:sz w:val="28"/>
        </w:rPr>
        <w:tab/>
      </w:r>
      <w:r>
        <w:rPr>
          <w:b/>
          <w:iCs/>
          <w:sz w:val="24"/>
          <w:szCs w:val="18"/>
        </w:rPr>
        <w:t xml:space="preserve">         </w:t>
      </w:r>
      <w:r>
        <w:rPr>
          <w:b/>
          <w:iCs/>
          <w:sz w:val="24"/>
          <w:szCs w:val="18"/>
          <w:highlight w:val="none"/>
        </w:rPr>
        <w:t xml:space="preserve"> </w:t>
      </w:r>
      <w:r>
        <w:rPr>
          <w:rFonts w:hint="eastAsia"/>
          <w:b/>
          <w:iCs/>
          <w:sz w:val="24"/>
          <w:szCs w:val="18"/>
          <w:highlight w:val="none"/>
        </w:rPr>
        <w:t>R3-230</w:t>
      </w:r>
      <w:r>
        <w:rPr>
          <w:rFonts w:hint="default"/>
          <w:b/>
          <w:iCs/>
          <w:sz w:val="24"/>
          <w:szCs w:val="18"/>
          <w:highlight w:val="none"/>
          <w:lang w:val="en-US"/>
        </w:rPr>
        <w:t>843</w:t>
      </w:r>
    </w:p>
    <w:p>
      <w:pPr>
        <w:spacing w:after="0"/>
        <w:jc w:val="both"/>
        <w:rPr>
          <w:rFonts w:cs="Arial"/>
          <w:b/>
          <w:bCs/>
          <w:sz w:val="24"/>
          <w:szCs w:val="24"/>
        </w:rPr>
      </w:pPr>
      <w:r>
        <w:rPr>
          <w:rFonts w:hint="eastAsia" w:cs="Arial"/>
          <w:b/>
          <w:bCs/>
          <w:sz w:val="24"/>
          <w:szCs w:val="24"/>
        </w:rPr>
        <w:t>Athens , GR，27th February –3rd March, 2023</w:t>
      </w:r>
    </w:p>
    <w:p>
      <w:pPr>
        <w:spacing w:after="0"/>
        <w:jc w:val="both"/>
        <w:rPr>
          <w:b/>
          <w:sz w:val="24"/>
        </w:rPr>
      </w:pPr>
    </w:p>
    <w:tbl>
      <w:tblPr>
        <w:tblStyle w:val="2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
              <w:spacing w:after="0"/>
              <w:jc w:val="right"/>
            </w:pPr>
          </w:p>
        </w:tc>
        <w:tc>
          <w:tcPr>
            <w:tcW w:w="1559" w:type="dxa"/>
            <w:shd w:val="pct30" w:color="FFFF00" w:fill="auto"/>
          </w:tcPr>
          <w:p>
            <w:pPr>
              <w:pStyle w:val="28"/>
              <w:spacing w:after="0"/>
              <w:jc w:val="right"/>
              <w:rPr>
                <w:b/>
                <w:sz w:val="28"/>
              </w:rPr>
            </w:pPr>
            <w:r>
              <w:rPr>
                <w:b/>
                <w:sz w:val="28"/>
              </w:rPr>
              <w:t>38.300</w:t>
            </w:r>
          </w:p>
        </w:tc>
        <w:tc>
          <w:tcPr>
            <w:tcW w:w="709" w:type="dxa"/>
          </w:tcPr>
          <w:p>
            <w:pPr>
              <w:pStyle w:val="28"/>
              <w:spacing w:after="0"/>
              <w:jc w:val="center"/>
            </w:pPr>
            <w:r>
              <w:rPr>
                <w:b/>
                <w:sz w:val="28"/>
              </w:rPr>
              <w:t>CR</w:t>
            </w:r>
          </w:p>
        </w:tc>
        <w:tc>
          <w:tcPr>
            <w:tcW w:w="1276" w:type="dxa"/>
            <w:shd w:val="pct30" w:color="FFFF00" w:fill="auto"/>
          </w:tcPr>
          <w:p>
            <w:pPr>
              <w:pStyle w:val="28"/>
              <w:spacing w:after="0"/>
              <w:jc w:val="center"/>
            </w:pPr>
            <w:r>
              <w:rPr>
                <w:b/>
                <w:sz w:val="28"/>
              </w:rPr>
              <w:t>-</w:t>
            </w:r>
          </w:p>
        </w:tc>
        <w:tc>
          <w:tcPr>
            <w:tcW w:w="709" w:type="dxa"/>
          </w:tcPr>
          <w:p>
            <w:pPr>
              <w:pStyle w:val="28"/>
              <w:tabs>
                <w:tab w:val="right" w:pos="625"/>
              </w:tabs>
              <w:spacing w:after="0"/>
              <w:jc w:val="center"/>
            </w:pPr>
            <w:r>
              <w:rPr>
                <w:b/>
                <w:bCs/>
                <w:sz w:val="28"/>
              </w:rPr>
              <w:t>rev</w:t>
            </w:r>
          </w:p>
        </w:tc>
        <w:tc>
          <w:tcPr>
            <w:tcW w:w="992" w:type="dxa"/>
            <w:shd w:val="pct30" w:color="FFFF00" w:fill="auto"/>
          </w:tcPr>
          <w:p>
            <w:pPr>
              <w:pStyle w:val="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28"/>
              <w:tabs>
                <w:tab w:val="right" w:pos="1825"/>
              </w:tabs>
              <w:spacing w:after="0"/>
              <w:jc w:val="center"/>
            </w:pPr>
            <w:r>
              <w:rPr>
                <w:b/>
                <w:sz w:val="28"/>
                <w:szCs w:val="28"/>
              </w:rPr>
              <w:t>Current version:</w:t>
            </w:r>
          </w:p>
        </w:tc>
        <w:tc>
          <w:tcPr>
            <w:tcW w:w="1701" w:type="dxa"/>
            <w:shd w:val="pct30" w:color="FFFF00" w:fill="auto"/>
          </w:tcPr>
          <w:p>
            <w:pPr>
              <w:pStyle w:val="28"/>
              <w:spacing w:after="0"/>
              <w:ind w:right="280"/>
              <w:jc w:val="right"/>
              <w:rPr>
                <w:b/>
                <w:sz w:val="28"/>
              </w:rPr>
            </w:pPr>
            <w:r>
              <w:rPr>
                <w:b/>
                <w:sz w:val="28"/>
              </w:rPr>
              <w:t>17.</w:t>
            </w:r>
            <w:r>
              <w:rPr>
                <w:rFonts w:hint="default"/>
                <w:b/>
                <w:sz w:val="28"/>
                <w:lang w:val="en-US"/>
              </w:rPr>
              <w:t>3</w:t>
            </w:r>
            <w:r>
              <w:rPr>
                <w:b/>
                <w:sz w:val="28"/>
              </w:rPr>
              <w:t>.0</w:t>
            </w:r>
          </w:p>
        </w:tc>
        <w:tc>
          <w:tcPr>
            <w:tcW w:w="143" w:type="dxa"/>
            <w:tcBorders>
              <w:right w:val="single" w:color="auto" w:sz="4" w:space="0"/>
            </w:tcBorders>
          </w:tcPr>
          <w:p>
            <w:pPr>
              <w:pStyle w:val="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6"/>
                <w:rFonts w:cs="Arial"/>
                <w:b/>
                <w:i/>
                <w:color w:val="FF0000"/>
              </w:rPr>
              <w:t>HE</w:t>
            </w:r>
            <w:bookmarkStart w:id="0" w:name="_Hlt497126619"/>
            <w:r>
              <w:rPr>
                <w:rStyle w:val="26"/>
                <w:rFonts w:cs="Arial"/>
                <w:b/>
                <w:i/>
                <w:color w:val="FF0000"/>
              </w:rPr>
              <w:t>L</w:t>
            </w:r>
            <w:bookmarkEnd w:id="0"/>
            <w:r>
              <w:rPr>
                <w:rStyle w:val="26"/>
                <w:rFonts w:cs="Arial"/>
                <w:b/>
                <w:i/>
                <w:color w:val="FF0000"/>
              </w:rPr>
              <w:t>P</w:t>
            </w:r>
            <w:r>
              <w:rPr>
                <w:rStyle w:val="2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6"/>
                <w:rFonts w:cs="Arial"/>
                <w:i/>
              </w:rPr>
              <w:t>http://www.3gpp.org/Change-Requests</w:t>
            </w:r>
            <w:r>
              <w:rPr>
                <w:rStyle w:val="26"/>
                <w:rFonts w:cs="Arial"/>
                <w:i/>
              </w:rPr>
              <w:fldChar w:fldCharType="end"/>
            </w:r>
            <w:r>
              <w:rPr>
                <w:rFonts w:cs="Arial"/>
                <w:i/>
              </w:rPr>
              <w:t>.</w:t>
            </w:r>
          </w:p>
        </w:tc>
      </w:tr>
      <w:tr>
        <w:tc>
          <w:tcPr>
            <w:tcW w:w="9641" w:type="dxa"/>
            <w:gridSpan w:val="9"/>
          </w:tcPr>
          <w:p>
            <w:pPr>
              <w:pStyle w:val="28"/>
              <w:spacing w:after="0"/>
              <w:rPr>
                <w:sz w:val="8"/>
                <w:szCs w:val="8"/>
              </w:rPr>
            </w:pPr>
          </w:p>
        </w:tc>
      </w:tr>
    </w:tbl>
    <w:p>
      <w:pPr>
        <w:rPr>
          <w:sz w:val="8"/>
          <w:szCs w:val="8"/>
        </w:rPr>
      </w:pPr>
    </w:p>
    <w:tbl>
      <w:tblPr>
        <w:tblStyle w:val="2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
              <w:tabs>
                <w:tab w:val="right" w:pos="2751"/>
              </w:tabs>
              <w:spacing w:after="0"/>
              <w:rPr>
                <w:b/>
                <w:i/>
              </w:rPr>
            </w:pPr>
            <w:r>
              <w:rPr>
                <w:b/>
                <w:i/>
              </w:rPr>
              <w:t>Proposed change affects:</w:t>
            </w:r>
          </w:p>
        </w:tc>
        <w:tc>
          <w:tcPr>
            <w:tcW w:w="1418" w:type="dxa"/>
          </w:tcPr>
          <w:p>
            <w:pPr>
              <w:pStyle w:val="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
              <w:spacing w:after="0"/>
              <w:jc w:val="center"/>
              <w:rPr>
                <w:b/>
                <w:caps/>
              </w:rPr>
            </w:pPr>
          </w:p>
        </w:tc>
        <w:tc>
          <w:tcPr>
            <w:tcW w:w="709" w:type="dxa"/>
            <w:tcBorders>
              <w:left w:val="single" w:color="auto" w:sz="4" w:space="0"/>
            </w:tcBorders>
          </w:tcPr>
          <w:p>
            <w:pPr>
              <w:pStyle w:val="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
              <w:spacing w:after="0"/>
              <w:jc w:val="center"/>
              <w:rPr>
                <w:b/>
                <w:caps/>
              </w:rPr>
            </w:pPr>
          </w:p>
        </w:tc>
        <w:tc>
          <w:tcPr>
            <w:tcW w:w="2126" w:type="dxa"/>
          </w:tcPr>
          <w:p>
            <w:pPr>
              <w:pStyle w:val="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
              <w:spacing w:after="0"/>
              <w:jc w:val="center"/>
              <w:rPr>
                <w:b/>
                <w:caps/>
              </w:rPr>
            </w:pPr>
            <w:r>
              <w:rPr>
                <w:b/>
                <w:caps/>
              </w:rPr>
              <w:t>x</w:t>
            </w:r>
          </w:p>
        </w:tc>
        <w:tc>
          <w:tcPr>
            <w:tcW w:w="1418" w:type="dxa"/>
            <w:tcBorders>
              <w:left w:val="nil"/>
            </w:tcBorders>
          </w:tcPr>
          <w:p>
            <w:pPr>
              <w:pStyle w:val="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
              <w:spacing w:after="0"/>
              <w:jc w:val="center"/>
              <w:rPr>
                <w:b/>
                <w:bCs/>
                <w:caps/>
              </w:rPr>
            </w:pPr>
          </w:p>
        </w:tc>
      </w:tr>
    </w:tbl>
    <w:p>
      <w:pPr>
        <w:rPr>
          <w:sz w:val="8"/>
          <w:szCs w:val="8"/>
        </w:rPr>
      </w:pPr>
    </w:p>
    <w:tbl>
      <w:tblPr>
        <w:tblStyle w:val="2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
              <w:spacing w:after="0"/>
              <w:ind w:left="100"/>
            </w:pPr>
            <w:r>
              <w:rPr>
                <w:rFonts w:hint="eastAsia"/>
              </w:rPr>
              <w:t>(BLCR to 38.300) Addition of SON features enhancement</w:t>
            </w:r>
          </w:p>
        </w:tc>
      </w:tr>
      <w:tr>
        <w:tblPrEx>
          <w:tblCellMar>
            <w:top w:w="0" w:type="dxa"/>
            <w:left w:w="42" w:type="dxa"/>
            <w:bottom w:w="0" w:type="dxa"/>
            <w:right w:w="42" w:type="dxa"/>
          </w:tblCellMar>
        </w:tblPrEx>
        <w:tc>
          <w:tcPr>
            <w:tcW w:w="1843" w:type="dxa"/>
            <w:tcBorders>
              <w:left w:val="single" w:color="auto" w:sz="4" w:space="0"/>
            </w:tcBorders>
          </w:tcPr>
          <w:p>
            <w:pPr>
              <w:pStyle w:val="28"/>
              <w:spacing w:after="0"/>
              <w:rPr>
                <w:b/>
                <w:i/>
                <w:sz w:val="8"/>
                <w:szCs w:val="8"/>
              </w:rPr>
            </w:pPr>
          </w:p>
        </w:tc>
        <w:tc>
          <w:tcPr>
            <w:tcW w:w="7797" w:type="dxa"/>
            <w:gridSpan w:val="10"/>
            <w:tcBorders>
              <w:right w:val="single" w:color="auto" w:sz="4" w:space="0"/>
            </w:tcBorders>
          </w:tcPr>
          <w:p>
            <w:pPr>
              <w:pStyle w:val="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28"/>
              <w:spacing w:after="0"/>
              <w:rPr>
                <w:b/>
                <w:i/>
                <w:sz w:val="8"/>
                <w:szCs w:val="8"/>
              </w:rPr>
            </w:pPr>
          </w:p>
        </w:tc>
        <w:tc>
          <w:tcPr>
            <w:tcW w:w="7797" w:type="dxa"/>
            <w:gridSpan w:val="10"/>
            <w:tcBorders>
              <w:right w:val="single" w:color="auto" w:sz="4" w:space="0"/>
            </w:tcBorders>
          </w:tcPr>
          <w:p>
            <w:pPr>
              <w:pStyle w:val="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
              <w:tabs>
                <w:tab w:val="right" w:pos="1759"/>
              </w:tabs>
              <w:spacing w:after="0"/>
              <w:rPr>
                <w:b/>
                <w:i/>
              </w:rPr>
            </w:pPr>
            <w:r>
              <w:rPr>
                <w:b/>
                <w:i/>
              </w:rPr>
              <w:t>Work item code:</w:t>
            </w:r>
          </w:p>
        </w:tc>
        <w:tc>
          <w:tcPr>
            <w:tcW w:w="3686" w:type="dxa"/>
            <w:gridSpan w:val="5"/>
            <w:shd w:val="pct30" w:color="FFFF00" w:fill="auto"/>
          </w:tcPr>
          <w:p>
            <w:pPr>
              <w:pStyle w:val="28"/>
              <w:spacing w:after="0"/>
              <w:ind w:left="100"/>
            </w:pPr>
            <w:r>
              <w:rPr>
                <w:rFonts w:cs="Calibri"/>
                <w:sz w:val="18"/>
                <w:szCs w:val="18"/>
              </w:rPr>
              <w:t>NR_ENDC_SON_MDT_enh2-Core</w:t>
            </w:r>
          </w:p>
        </w:tc>
        <w:tc>
          <w:tcPr>
            <w:tcW w:w="567" w:type="dxa"/>
            <w:tcBorders>
              <w:left w:val="nil"/>
            </w:tcBorders>
          </w:tcPr>
          <w:p>
            <w:pPr>
              <w:pStyle w:val="28"/>
              <w:spacing w:after="0"/>
              <w:ind w:right="100"/>
            </w:pPr>
          </w:p>
        </w:tc>
        <w:tc>
          <w:tcPr>
            <w:tcW w:w="1417" w:type="dxa"/>
            <w:gridSpan w:val="3"/>
            <w:tcBorders>
              <w:left w:val="nil"/>
            </w:tcBorders>
          </w:tcPr>
          <w:p>
            <w:pPr>
              <w:pStyle w:val="28"/>
              <w:spacing w:after="0"/>
              <w:jc w:val="right"/>
            </w:pPr>
            <w:r>
              <w:rPr>
                <w:b/>
                <w:i/>
              </w:rPr>
              <w:t>Date:</w:t>
            </w:r>
          </w:p>
        </w:tc>
        <w:tc>
          <w:tcPr>
            <w:tcW w:w="2127" w:type="dxa"/>
            <w:tcBorders>
              <w:right w:val="single" w:color="auto" w:sz="4" w:space="0"/>
            </w:tcBorders>
            <w:shd w:val="pct30" w:color="FFFF00" w:fill="auto"/>
          </w:tcPr>
          <w:p>
            <w:pPr>
              <w:pStyle w:val="28"/>
              <w:spacing w:after="0"/>
              <w:ind w:left="100"/>
              <w:rPr>
                <w:rFonts w:hint="default"/>
                <w:lang w:val="en-US"/>
              </w:rPr>
            </w:pPr>
            <w:r>
              <w:rPr>
                <w:highlight w:val="none"/>
              </w:rPr>
              <w:t>202</w:t>
            </w:r>
            <w:r>
              <w:rPr>
                <w:rFonts w:hint="default"/>
                <w:highlight w:val="none"/>
                <w:lang w:val="en-US"/>
              </w:rPr>
              <w:t>3</w:t>
            </w:r>
            <w:r>
              <w:rPr>
                <w:highlight w:val="none"/>
              </w:rPr>
              <w:t>-</w:t>
            </w:r>
            <w:r>
              <w:rPr>
                <w:rFonts w:hint="default" w:eastAsiaTheme="minorEastAsia"/>
                <w:highlight w:val="none"/>
                <w:lang w:val="en-US" w:eastAsia="zh-CN"/>
              </w:rPr>
              <w:t>02</w:t>
            </w:r>
            <w:r>
              <w:rPr>
                <w:highlight w:val="none"/>
              </w:rPr>
              <w:t>-</w:t>
            </w:r>
            <w:r>
              <w:rPr>
                <w:rFonts w:hint="default"/>
                <w:highlight w:val="none"/>
                <w:lang w:val="en-US"/>
              </w:rPr>
              <w:t>28</w:t>
            </w:r>
            <w:bookmarkStart w:id="27" w:name="_GoBack"/>
            <w:bookmarkEnd w:id="27"/>
          </w:p>
        </w:tc>
      </w:tr>
      <w:tr>
        <w:tblPrEx>
          <w:tblCellMar>
            <w:top w:w="0" w:type="dxa"/>
            <w:left w:w="42" w:type="dxa"/>
            <w:bottom w:w="0" w:type="dxa"/>
            <w:right w:w="42" w:type="dxa"/>
          </w:tblCellMar>
        </w:tblPrEx>
        <w:tc>
          <w:tcPr>
            <w:tcW w:w="1843" w:type="dxa"/>
            <w:tcBorders>
              <w:left w:val="single" w:color="auto" w:sz="4" w:space="0"/>
            </w:tcBorders>
          </w:tcPr>
          <w:p>
            <w:pPr>
              <w:pStyle w:val="28"/>
              <w:spacing w:after="0"/>
              <w:rPr>
                <w:b/>
                <w:i/>
                <w:sz w:val="8"/>
                <w:szCs w:val="8"/>
              </w:rPr>
            </w:pPr>
          </w:p>
        </w:tc>
        <w:tc>
          <w:tcPr>
            <w:tcW w:w="1986" w:type="dxa"/>
            <w:gridSpan w:val="4"/>
          </w:tcPr>
          <w:p>
            <w:pPr>
              <w:pStyle w:val="28"/>
              <w:spacing w:after="0"/>
              <w:rPr>
                <w:sz w:val="8"/>
                <w:szCs w:val="8"/>
              </w:rPr>
            </w:pPr>
          </w:p>
        </w:tc>
        <w:tc>
          <w:tcPr>
            <w:tcW w:w="2267" w:type="dxa"/>
            <w:gridSpan w:val="2"/>
          </w:tcPr>
          <w:p>
            <w:pPr>
              <w:pStyle w:val="28"/>
              <w:spacing w:after="0"/>
              <w:rPr>
                <w:sz w:val="8"/>
                <w:szCs w:val="8"/>
              </w:rPr>
            </w:pPr>
          </w:p>
        </w:tc>
        <w:tc>
          <w:tcPr>
            <w:tcW w:w="1417" w:type="dxa"/>
            <w:gridSpan w:val="3"/>
          </w:tcPr>
          <w:p>
            <w:pPr>
              <w:pStyle w:val="28"/>
              <w:spacing w:after="0"/>
              <w:rPr>
                <w:sz w:val="8"/>
                <w:szCs w:val="8"/>
              </w:rPr>
            </w:pPr>
          </w:p>
        </w:tc>
        <w:tc>
          <w:tcPr>
            <w:tcW w:w="2127" w:type="dxa"/>
            <w:tcBorders>
              <w:right w:val="single" w:color="auto" w:sz="4" w:space="0"/>
            </w:tcBorders>
          </w:tcPr>
          <w:p>
            <w:pPr>
              <w:pStyle w:val="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
              <w:tabs>
                <w:tab w:val="right" w:pos="1759"/>
              </w:tabs>
              <w:spacing w:after="0"/>
              <w:rPr>
                <w:b/>
                <w:i/>
              </w:rPr>
            </w:pPr>
            <w:r>
              <w:rPr>
                <w:b/>
                <w:i/>
              </w:rPr>
              <w:t>Category:</w:t>
            </w:r>
          </w:p>
        </w:tc>
        <w:tc>
          <w:tcPr>
            <w:tcW w:w="851" w:type="dxa"/>
            <w:shd w:val="pct30" w:color="FFFF00" w:fill="auto"/>
          </w:tcPr>
          <w:p>
            <w:pPr>
              <w:pStyle w:val="28"/>
              <w:spacing w:after="0"/>
              <w:ind w:right="-609"/>
              <w:rPr>
                <w:b/>
              </w:rPr>
            </w:pPr>
            <w:r>
              <w:rPr>
                <w:b/>
              </w:rPr>
              <w:t xml:space="preserve">  B</w:t>
            </w:r>
          </w:p>
        </w:tc>
        <w:tc>
          <w:tcPr>
            <w:tcW w:w="3402" w:type="dxa"/>
            <w:gridSpan w:val="5"/>
            <w:tcBorders>
              <w:left w:val="nil"/>
            </w:tcBorders>
          </w:tcPr>
          <w:p>
            <w:pPr>
              <w:pStyle w:val="28"/>
              <w:spacing w:after="0"/>
              <w:rPr>
                <w:rFonts w:eastAsiaTheme="minorEastAsia"/>
                <w:lang w:eastAsia="zh-CN"/>
              </w:rPr>
            </w:pPr>
          </w:p>
        </w:tc>
        <w:tc>
          <w:tcPr>
            <w:tcW w:w="1417" w:type="dxa"/>
            <w:gridSpan w:val="3"/>
            <w:tcBorders>
              <w:left w:val="nil"/>
            </w:tcBorders>
          </w:tcPr>
          <w:p>
            <w:pPr>
              <w:pStyle w:val="28"/>
              <w:spacing w:after="0"/>
              <w:jc w:val="right"/>
              <w:rPr>
                <w:b/>
                <w:i/>
              </w:rPr>
            </w:pPr>
            <w:r>
              <w:rPr>
                <w:b/>
                <w:i/>
              </w:rPr>
              <w:t>Release:</w:t>
            </w:r>
          </w:p>
        </w:tc>
        <w:tc>
          <w:tcPr>
            <w:tcW w:w="2127" w:type="dxa"/>
            <w:tcBorders>
              <w:right w:val="single" w:color="auto" w:sz="4" w:space="0"/>
            </w:tcBorders>
            <w:shd w:val="pct30" w:color="FFFF00" w:fill="auto"/>
          </w:tcPr>
          <w:p>
            <w:pPr>
              <w:pStyle w:val="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
              <w:spacing w:after="0"/>
              <w:rPr>
                <w:b/>
                <w:i/>
              </w:rPr>
            </w:pPr>
          </w:p>
        </w:tc>
        <w:tc>
          <w:tcPr>
            <w:tcW w:w="4677" w:type="dxa"/>
            <w:gridSpan w:val="8"/>
            <w:tcBorders>
              <w:bottom w:val="single" w:color="auto" w:sz="4" w:space="0"/>
            </w:tcBorders>
          </w:tcPr>
          <w:p>
            <w:pPr>
              <w:pStyle w:val="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6"/>
                <w:sz w:val="18"/>
              </w:rPr>
              <w:t>TR 21.900</w:t>
            </w:r>
            <w:r>
              <w:rPr>
                <w:rStyle w:val="26"/>
                <w:sz w:val="18"/>
              </w:rPr>
              <w:fldChar w:fldCharType="end"/>
            </w:r>
            <w:r>
              <w:rPr>
                <w:sz w:val="18"/>
              </w:rPr>
              <w:t>.</w:t>
            </w:r>
          </w:p>
        </w:tc>
        <w:tc>
          <w:tcPr>
            <w:tcW w:w="3120" w:type="dxa"/>
            <w:gridSpan w:val="2"/>
            <w:tcBorders>
              <w:bottom w:val="single" w:color="auto" w:sz="4" w:space="0"/>
              <w:right w:val="single" w:color="auto" w:sz="4" w:space="0"/>
            </w:tcBorders>
          </w:tcPr>
          <w:p>
            <w:pPr>
              <w:pStyle w:val="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8"/>
              <w:spacing w:after="0"/>
              <w:rPr>
                <w:b/>
                <w:i/>
                <w:sz w:val="8"/>
                <w:szCs w:val="8"/>
              </w:rPr>
            </w:pPr>
          </w:p>
        </w:tc>
        <w:tc>
          <w:tcPr>
            <w:tcW w:w="7797" w:type="dxa"/>
            <w:gridSpan w:val="10"/>
          </w:tcPr>
          <w:p>
            <w:pPr>
              <w:pStyle w:val="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
              <w:spacing w:after="0"/>
              <w:ind w:left="100"/>
              <w:rPr>
                <w:lang w:eastAsia="zh-CN"/>
              </w:rPr>
            </w:pPr>
            <w:r>
              <w:rPr>
                <w:lang w:eastAsia="zh-CN"/>
              </w:rPr>
              <w:t xml:space="preserve">Introduce </w:t>
            </w:r>
            <w:r>
              <w:rPr>
                <w:rFonts w:hint="eastAsia" w:eastAsiaTheme="minorEastAsia"/>
                <w:lang w:eastAsia="zh-CN"/>
              </w:rPr>
              <w:t>enhancement of SON features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
              <w:spacing w:after="0"/>
              <w:rPr>
                <w:b/>
                <w:i/>
                <w:sz w:val="8"/>
                <w:szCs w:val="8"/>
              </w:rPr>
            </w:pPr>
          </w:p>
        </w:tc>
        <w:tc>
          <w:tcPr>
            <w:tcW w:w="6946" w:type="dxa"/>
            <w:gridSpan w:val="9"/>
            <w:tcBorders>
              <w:right w:val="single" w:color="auto" w:sz="4" w:space="0"/>
            </w:tcBorders>
          </w:tcPr>
          <w:p>
            <w:pPr>
              <w:pStyle w:val="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
              <w:spacing w:after="0"/>
              <w:rPr>
                <w:rFonts w:eastAsiaTheme="minorEastAsia"/>
                <w:lang w:eastAsia="zh-CN"/>
              </w:rPr>
            </w:pPr>
            <w:r>
              <w:rPr>
                <w:rFonts w:hint="eastAsia" w:eastAsiaTheme="minorEastAsia"/>
                <w:lang w:eastAsia="zh-CN"/>
              </w:rPr>
              <w:t>R</w:t>
            </w:r>
            <w:r>
              <w:rPr>
                <w:rFonts w:eastAsiaTheme="minorEastAsia"/>
                <w:lang w:eastAsia="zh-CN"/>
              </w:rPr>
              <w:t>AN3#117</w:t>
            </w:r>
            <w:r>
              <w:rPr>
                <w:rFonts w:hint="eastAsia" w:eastAsiaTheme="minorEastAsia"/>
                <w:lang w:eastAsia="zh-CN"/>
              </w:rPr>
              <w:t>bis-e</w:t>
            </w:r>
            <w:r>
              <w:rPr>
                <w:rFonts w:eastAsiaTheme="minorEastAsia"/>
                <w:lang w:eastAsia="zh-CN"/>
              </w:rPr>
              <w:t>:</w:t>
            </w:r>
          </w:p>
          <w:p>
            <w:pPr>
              <w:pStyle w:val="28"/>
              <w:numPr>
                <w:ilvl w:val="0"/>
                <w:numId w:val="3"/>
              </w:numPr>
              <w:spacing w:after="0"/>
              <w:rPr>
                <w:lang w:eastAsia="zh-CN"/>
              </w:rPr>
            </w:pPr>
            <w:r>
              <w:rPr>
                <w:rFonts w:hint="eastAsia" w:eastAsiaTheme="minorEastAsia"/>
                <w:lang w:eastAsia="zh-CN"/>
              </w:rPr>
              <w:t>Add more agreed cases for MRO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
              <w:spacing w:after="0"/>
              <w:rPr>
                <w:b/>
                <w:i/>
                <w:sz w:val="8"/>
                <w:szCs w:val="8"/>
              </w:rPr>
            </w:pPr>
          </w:p>
        </w:tc>
        <w:tc>
          <w:tcPr>
            <w:tcW w:w="6946" w:type="dxa"/>
            <w:gridSpan w:val="9"/>
            <w:tcBorders>
              <w:right w:val="single" w:color="auto" w:sz="4" w:space="0"/>
            </w:tcBorders>
          </w:tcPr>
          <w:p>
            <w:pPr>
              <w:pStyle w:val="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
              <w:spacing w:after="0"/>
              <w:ind w:left="100"/>
              <w:rPr>
                <w:lang w:eastAsia="zh-CN"/>
              </w:rPr>
            </w:pPr>
            <w:r>
              <w:rPr>
                <w:rFonts w:hint="eastAsia" w:eastAsiaTheme="minorEastAsia"/>
                <w:lang w:eastAsia="zh-CN"/>
              </w:rPr>
              <w:t>Enhancement of SON features</w:t>
            </w:r>
            <w:r>
              <w:rPr>
                <w:lang w:eastAsia="zh-CN"/>
              </w:rPr>
              <w:t xml:space="preserve"> will not be supported.</w:t>
            </w:r>
          </w:p>
        </w:tc>
      </w:tr>
      <w:tr>
        <w:tblPrEx>
          <w:tblCellMar>
            <w:top w:w="0" w:type="dxa"/>
            <w:left w:w="42" w:type="dxa"/>
            <w:bottom w:w="0" w:type="dxa"/>
            <w:right w:w="42" w:type="dxa"/>
          </w:tblCellMar>
        </w:tblPrEx>
        <w:tc>
          <w:tcPr>
            <w:tcW w:w="2694" w:type="dxa"/>
            <w:gridSpan w:val="2"/>
          </w:tcPr>
          <w:p>
            <w:pPr>
              <w:pStyle w:val="28"/>
              <w:spacing w:after="0"/>
              <w:rPr>
                <w:b/>
                <w:i/>
                <w:sz w:val="8"/>
                <w:szCs w:val="8"/>
              </w:rPr>
            </w:pPr>
          </w:p>
        </w:tc>
        <w:tc>
          <w:tcPr>
            <w:tcW w:w="6946" w:type="dxa"/>
            <w:gridSpan w:val="9"/>
          </w:tcPr>
          <w:p>
            <w:pPr>
              <w:pStyle w:val="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
              <w:spacing w:after="0"/>
              <w:ind w:left="100"/>
              <w:rPr>
                <w:rFonts w:eastAsiaTheme="minorEastAsia"/>
                <w:lang w:eastAsia="zh-CN"/>
              </w:rPr>
            </w:pPr>
            <w:r>
              <w:rPr>
                <w:rFonts w:hint="eastAsia" w:eastAsiaTheme="minorEastAsia"/>
                <w:lang w:eastAsia="zh-CN"/>
              </w:rPr>
              <w:t>15.5.2.1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
              <w:spacing w:after="0"/>
              <w:rPr>
                <w:b/>
                <w:i/>
                <w:sz w:val="8"/>
                <w:szCs w:val="8"/>
              </w:rPr>
            </w:pPr>
          </w:p>
        </w:tc>
        <w:tc>
          <w:tcPr>
            <w:tcW w:w="6946" w:type="dxa"/>
            <w:gridSpan w:val="9"/>
            <w:tcBorders>
              <w:right w:val="single" w:color="auto" w:sz="4" w:space="0"/>
            </w:tcBorders>
          </w:tcPr>
          <w:p>
            <w:pPr>
              <w:pStyle w:val="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
              <w:spacing w:after="0"/>
              <w:jc w:val="center"/>
              <w:rPr>
                <w:b/>
                <w:caps/>
              </w:rPr>
            </w:pPr>
            <w:r>
              <w:rPr>
                <w:b/>
                <w:caps/>
              </w:rPr>
              <w:t>N</w:t>
            </w:r>
          </w:p>
        </w:tc>
        <w:tc>
          <w:tcPr>
            <w:tcW w:w="2977" w:type="dxa"/>
            <w:gridSpan w:val="4"/>
          </w:tcPr>
          <w:p>
            <w:pPr>
              <w:pStyle w:val="28"/>
              <w:tabs>
                <w:tab w:val="right" w:pos="2893"/>
              </w:tabs>
              <w:spacing w:after="0"/>
            </w:pPr>
          </w:p>
        </w:tc>
        <w:tc>
          <w:tcPr>
            <w:tcW w:w="3401" w:type="dxa"/>
            <w:gridSpan w:val="3"/>
            <w:tcBorders>
              <w:right w:val="single" w:color="auto" w:sz="4" w:space="0"/>
            </w:tcBorders>
            <w:shd w:val="clear" w:color="FFFF00" w:fill="auto"/>
          </w:tcPr>
          <w:p>
            <w:pPr>
              <w:pStyle w:val="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
              <w:spacing w:after="0"/>
              <w:jc w:val="center"/>
              <w:rPr>
                <w:b/>
                <w:caps/>
              </w:rPr>
            </w:pPr>
            <w:r>
              <w:rPr>
                <w:b/>
                <w:caps/>
              </w:rPr>
              <w:t>x</w:t>
            </w:r>
          </w:p>
        </w:tc>
        <w:tc>
          <w:tcPr>
            <w:tcW w:w="2977" w:type="dxa"/>
            <w:gridSpan w:val="4"/>
          </w:tcPr>
          <w:p>
            <w:pPr>
              <w:pStyle w:val="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
              <w:spacing w:after="0"/>
              <w:jc w:val="center"/>
              <w:rPr>
                <w:b/>
                <w:caps/>
              </w:rPr>
            </w:pPr>
            <w:r>
              <w:rPr>
                <w:b/>
                <w:caps/>
              </w:rPr>
              <w:t>x</w:t>
            </w:r>
          </w:p>
        </w:tc>
        <w:tc>
          <w:tcPr>
            <w:tcW w:w="2977" w:type="dxa"/>
            <w:gridSpan w:val="4"/>
          </w:tcPr>
          <w:p>
            <w:pPr>
              <w:pStyle w:val="28"/>
              <w:spacing w:after="0"/>
            </w:pPr>
            <w:r>
              <w:t xml:space="preserve"> Test specifications</w:t>
            </w:r>
          </w:p>
        </w:tc>
        <w:tc>
          <w:tcPr>
            <w:tcW w:w="3401" w:type="dxa"/>
            <w:gridSpan w:val="3"/>
            <w:tcBorders>
              <w:right w:val="single" w:color="auto" w:sz="4" w:space="0"/>
            </w:tcBorders>
            <w:shd w:val="pct30" w:color="FFFF00" w:fill="auto"/>
          </w:tcPr>
          <w:p>
            <w:pPr>
              <w:pStyle w:val="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
              <w:spacing w:after="0"/>
              <w:jc w:val="center"/>
              <w:rPr>
                <w:b/>
                <w:caps/>
              </w:rPr>
            </w:pPr>
            <w:r>
              <w:rPr>
                <w:b/>
                <w:caps/>
              </w:rPr>
              <w:t>x</w:t>
            </w:r>
          </w:p>
        </w:tc>
        <w:tc>
          <w:tcPr>
            <w:tcW w:w="2977" w:type="dxa"/>
            <w:gridSpan w:val="4"/>
          </w:tcPr>
          <w:p>
            <w:pPr>
              <w:pStyle w:val="28"/>
              <w:spacing w:after="0"/>
            </w:pPr>
            <w:r>
              <w:t xml:space="preserve"> O&amp;M Specifications</w:t>
            </w:r>
          </w:p>
        </w:tc>
        <w:tc>
          <w:tcPr>
            <w:tcW w:w="3401" w:type="dxa"/>
            <w:gridSpan w:val="3"/>
            <w:tcBorders>
              <w:right w:val="single" w:color="auto" w:sz="4" w:space="0"/>
            </w:tcBorders>
            <w:shd w:val="pct30" w:color="FFFF00" w:fill="auto"/>
          </w:tcPr>
          <w:p>
            <w:pPr>
              <w:pStyle w:val="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
              <w:spacing w:after="0"/>
              <w:rPr>
                <w:b/>
                <w:i/>
              </w:rPr>
            </w:pPr>
          </w:p>
        </w:tc>
        <w:tc>
          <w:tcPr>
            <w:tcW w:w="6946" w:type="dxa"/>
            <w:gridSpan w:val="9"/>
            <w:tcBorders>
              <w:right w:val="single" w:color="auto" w:sz="4" w:space="0"/>
            </w:tcBorders>
          </w:tcPr>
          <w:p>
            <w:pPr>
              <w:pStyle w:val="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
              <w:spacing w:after="0"/>
              <w:ind w:left="100"/>
              <w:rPr>
                <w:rFonts w:eastAsiaTheme="minorEastAsia"/>
                <w:lang w:eastAsia="zh-CN"/>
              </w:rPr>
            </w:pPr>
            <w:r>
              <w:rPr>
                <w:rFonts w:hint="eastAsia" w:eastAsiaTheme="minorEastAsia"/>
                <w:lang w:eastAsia="zh-CN"/>
              </w:rPr>
              <w:t>Rev 1 (R3-225999): Add more agreed cases for MRO, endorsed as BL CR</w:t>
            </w:r>
          </w:p>
          <w:p>
            <w:pPr>
              <w:pStyle w:val="28"/>
              <w:spacing w:after="0"/>
              <w:ind w:left="100"/>
              <w:rPr>
                <w:rFonts w:hint="eastAsia" w:eastAsiaTheme="minorEastAsia"/>
                <w:lang w:eastAsia="zh-CN"/>
              </w:rPr>
            </w:pPr>
            <w:r>
              <w:rPr>
                <w:rFonts w:hint="eastAsia" w:eastAsiaTheme="minorEastAsia"/>
                <w:lang w:eastAsia="zh-CN"/>
              </w:rPr>
              <w:t>Rev 2 (R3-226103): resubmission to RAN3 #118</w:t>
            </w:r>
          </w:p>
          <w:p>
            <w:pPr>
              <w:pStyle w:val="28"/>
              <w:spacing w:after="0"/>
              <w:ind w:left="100"/>
              <w:rPr>
                <w:rFonts w:hint="default" w:eastAsiaTheme="minorEastAsia"/>
                <w:lang w:val="en-US" w:eastAsia="zh-CN"/>
              </w:rPr>
            </w:pPr>
            <w:r>
              <w:rPr>
                <w:rFonts w:hint="eastAsia" w:eastAsiaTheme="minorEastAsia"/>
                <w:highlight w:val="none"/>
                <w:lang w:eastAsia="zh-CN"/>
              </w:rPr>
              <w:t xml:space="preserve">Rev </w:t>
            </w:r>
            <w:r>
              <w:rPr>
                <w:rFonts w:hint="default" w:eastAsiaTheme="minorEastAsia"/>
                <w:highlight w:val="none"/>
                <w:lang w:val="en-US" w:eastAsia="zh-CN"/>
              </w:rPr>
              <w:t>3</w:t>
            </w:r>
            <w:r>
              <w:rPr>
                <w:rFonts w:hint="eastAsia" w:eastAsiaTheme="minorEastAsia"/>
                <w:highlight w:val="none"/>
                <w:lang w:eastAsia="zh-CN"/>
              </w:rPr>
              <w:t xml:space="preserve"> (R3-2</w:t>
            </w:r>
            <w:r>
              <w:rPr>
                <w:rFonts w:hint="default" w:eastAsiaTheme="minorEastAsia"/>
                <w:highlight w:val="none"/>
                <w:lang w:val="en-US" w:eastAsia="zh-CN"/>
              </w:rPr>
              <w:t>30057</w:t>
            </w:r>
            <w:r>
              <w:rPr>
                <w:rFonts w:hint="eastAsia" w:eastAsiaTheme="minorEastAsia"/>
                <w:highlight w:val="none"/>
                <w:lang w:eastAsia="zh-CN"/>
              </w:rPr>
              <w:t>): resubmission to RAN3 #11</w:t>
            </w:r>
            <w:r>
              <w:rPr>
                <w:rFonts w:hint="default" w:eastAsiaTheme="minorEastAsia"/>
                <w:highlight w:val="none"/>
                <w:lang w:val="en-US" w:eastAsia="zh-CN"/>
              </w:rPr>
              <w:t>9</w:t>
            </w:r>
          </w:p>
        </w:tc>
      </w:tr>
    </w:tbl>
    <w:p>
      <w:pPr>
        <w:pStyle w:val="28"/>
        <w:spacing w:after="0"/>
        <w:rPr>
          <w:sz w:val="8"/>
          <w:szCs w:val="8"/>
        </w:rPr>
      </w:pPr>
    </w:p>
    <w:p>
      <w:pPr>
        <w:overflowPunct/>
        <w:autoSpaceDE/>
        <w:autoSpaceDN/>
        <w:adjustRightInd/>
        <w:spacing w:after="0"/>
        <w:textAlignment w:val="auto"/>
        <w:rPr>
          <w:b/>
          <w:sz w:val="24"/>
          <w:lang w:val="en-US"/>
        </w:rPr>
      </w:pPr>
      <w:r>
        <w:rPr>
          <w:b/>
          <w:sz w:val="24"/>
          <w:lang w:val="en-US"/>
        </w:rPr>
        <w:br w:type="page"/>
      </w:r>
    </w:p>
    <w:p>
      <w:pPr>
        <w:rPr>
          <w:lang w:eastAsia="zh-CN"/>
        </w:rPr>
      </w:pPr>
      <w:r>
        <w:rPr>
          <w:lang w:eastAsia="zh-CN"/>
        </w:rPr>
        <w:t>******************************************************Start of 1</w:t>
      </w:r>
      <w:r>
        <w:rPr>
          <w:rFonts w:asciiTheme="minorEastAsia" w:hAnsiTheme="minorEastAsia" w:eastAsiaTheme="minorEastAsia"/>
          <w:vertAlign w:val="superscript"/>
          <w:lang w:eastAsia="zh-CN"/>
        </w:rPr>
        <w:t>st</w:t>
      </w:r>
      <w:r>
        <w:rPr>
          <w:rFonts w:asciiTheme="minorEastAsia" w:hAnsiTheme="minorEastAsia" w:eastAsiaTheme="minorEastAsia"/>
          <w:lang w:eastAsia="zh-CN"/>
        </w:rPr>
        <w:t xml:space="preserve"> </w:t>
      </w:r>
      <w:r>
        <w:rPr>
          <w:lang w:eastAsia="zh-CN"/>
        </w:rPr>
        <w:t>Change****************************************************</w:t>
      </w:r>
    </w:p>
    <w:p>
      <w:pPr>
        <w:pStyle w:val="3"/>
        <w:spacing w:before="180"/>
        <w:rPr>
          <w:lang w:eastAsia="zh-CN"/>
        </w:rPr>
      </w:pPr>
      <w:bookmarkStart w:id="1" w:name="_Toc109153928"/>
      <w:r>
        <w:rPr>
          <w:lang w:eastAsia="zh-CN"/>
        </w:rPr>
        <w:t>15.5</w:t>
      </w:r>
      <w:r>
        <w:rPr>
          <w:lang w:eastAsia="zh-CN"/>
        </w:rPr>
        <w:tab/>
      </w:r>
      <w:r>
        <w:rPr>
          <w:lang w:eastAsia="zh-CN"/>
        </w:rPr>
        <w:t>Self-optimisation</w:t>
      </w:r>
      <w:bookmarkEnd w:id="1"/>
    </w:p>
    <w:p>
      <w:pPr>
        <w:pStyle w:val="4"/>
        <w:rPr>
          <w:lang w:eastAsia="zh-CN"/>
        </w:rPr>
      </w:pPr>
      <w:bookmarkStart w:id="2" w:name="_Toc46502087"/>
      <w:bookmarkStart w:id="3" w:name="_Toc51971435"/>
      <w:bookmarkStart w:id="4" w:name="_Toc109153929"/>
      <w:bookmarkStart w:id="5" w:name="_Toc52551418"/>
      <w:r>
        <w:rPr>
          <w:lang w:eastAsia="zh-CN"/>
        </w:rPr>
        <w:t>15.5.1</w:t>
      </w:r>
      <w:r>
        <w:rPr>
          <w:lang w:eastAsia="zh-CN"/>
        </w:rPr>
        <w:tab/>
      </w:r>
      <w:r>
        <w:rPr>
          <w:lang w:eastAsia="zh-CN"/>
        </w:rPr>
        <w:t>Support for Mobility Load Balancing</w:t>
      </w:r>
      <w:bookmarkEnd w:id="2"/>
      <w:bookmarkEnd w:id="3"/>
      <w:bookmarkEnd w:id="4"/>
      <w:bookmarkEnd w:id="5"/>
    </w:p>
    <w:p>
      <w:pPr>
        <w:pStyle w:val="5"/>
        <w:rPr>
          <w:lang w:eastAsia="zh-CN"/>
        </w:rPr>
      </w:pPr>
      <w:bookmarkStart w:id="6" w:name="_Toc46502088"/>
      <w:bookmarkStart w:id="7" w:name="_Toc52551419"/>
      <w:bookmarkStart w:id="8" w:name="_Toc109153930"/>
      <w:bookmarkStart w:id="9" w:name="_Toc51971436"/>
      <w:r>
        <w:rPr>
          <w:lang w:eastAsia="zh-CN"/>
        </w:rPr>
        <w:t>15.5.1.1</w:t>
      </w:r>
      <w:r>
        <w:rPr>
          <w:lang w:eastAsia="zh-CN"/>
        </w:rPr>
        <w:tab/>
      </w:r>
      <w:r>
        <w:rPr>
          <w:lang w:eastAsia="zh-CN"/>
        </w:rPr>
        <w:t>General</w:t>
      </w:r>
      <w:bookmarkEnd w:id="6"/>
      <w:bookmarkEnd w:id="7"/>
      <w:bookmarkEnd w:id="8"/>
      <w:bookmarkEnd w:id="9"/>
    </w:p>
    <w:p>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pPr>
        <w:rPr>
          <w:rFonts w:ascii="Times New Roman" w:hAnsi="Times New Roman"/>
        </w:rPr>
      </w:pPr>
      <w:r>
        <w:rPr>
          <w:rFonts w:ascii="Times New Roman" w:hAnsi="Times New Roman"/>
        </w:rPr>
        <w:t>Intra-RAT, intra-system inter-RAT and inter-system load balancing scenarios are supported.</w:t>
      </w:r>
    </w:p>
    <w:p>
      <w:pPr>
        <w:rPr>
          <w:rFonts w:ascii="Times New Roman" w:hAnsi="Times New Roman"/>
        </w:rPr>
      </w:pPr>
      <w:r>
        <w:rPr>
          <w:rFonts w:ascii="Times New Roman" w:hAnsi="Times New Roman"/>
        </w:rPr>
        <w:t>In general, support for mobility load balancing consists of one or more of following functions:</w:t>
      </w:r>
    </w:p>
    <w:p>
      <w:pPr>
        <w:pStyle w:val="29"/>
        <w:rPr>
          <w:lang w:eastAsia="zh-CN"/>
        </w:rPr>
      </w:pPr>
      <w:r>
        <w:rPr>
          <w:lang w:eastAsia="zh-CN"/>
        </w:rPr>
        <w:t>-</w:t>
      </w:r>
      <w:r>
        <w:rPr>
          <w:lang w:eastAsia="zh-CN"/>
        </w:rPr>
        <w:tab/>
      </w:r>
      <w:r>
        <w:rPr>
          <w:lang w:eastAsia="zh-CN"/>
        </w:rPr>
        <w:t xml:space="preserve">Load reporting </w:t>
      </w:r>
      <w:r>
        <w:t>for intra-RAT and intra-system inter-RAT load balancing</w:t>
      </w:r>
      <w:r>
        <w:rPr>
          <w:lang w:eastAsia="zh-CN"/>
        </w:rPr>
        <w:t>;</w:t>
      </w:r>
    </w:p>
    <w:p>
      <w:pPr>
        <w:pStyle w:val="29"/>
        <w:rPr>
          <w:lang w:eastAsia="zh-CN"/>
        </w:rPr>
      </w:pPr>
      <w:r>
        <w:rPr>
          <w:lang w:eastAsia="zh-CN"/>
        </w:rPr>
        <w:t>-</w:t>
      </w:r>
      <w:r>
        <w:rPr>
          <w:lang w:eastAsia="zh-CN"/>
        </w:rPr>
        <w:tab/>
      </w:r>
      <w:r>
        <w:rPr>
          <w:lang w:eastAsia="zh-CN"/>
        </w:rPr>
        <w:t>Load balancing action based on handovers;</w:t>
      </w:r>
    </w:p>
    <w:p>
      <w:pPr>
        <w:pStyle w:val="29"/>
        <w:rPr>
          <w:lang w:eastAsia="zh-CN"/>
        </w:rPr>
      </w:pPr>
      <w:r>
        <w:rPr>
          <w:lang w:eastAsia="zh-CN"/>
        </w:rPr>
        <w:t>-</w:t>
      </w:r>
      <w:r>
        <w:rPr>
          <w:lang w:eastAsia="zh-CN"/>
        </w:rPr>
        <w:tab/>
      </w:r>
      <w:r>
        <w:rPr>
          <w:lang w:eastAsia="zh-CN"/>
        </w:rPr>
        <w:t>Adapting handover and/or reselection configuration;</w:t>
      </w:r>
    </w:p>
    <w:p>
      <w:pPr>
        <w:pStyle w:val="29"/>
        <w:rPr>
          <w:lang w:eastAsia="zh-CN"/>
        </w:rPr>
      </w:pPr>
      <w:bookmarkStart w:id="10" w:name="_Toc46502089"/>
      <w:bookmarkStart w:id="11" w:name="_Toc52551420"/>
      <w:bookmarkStart w:id="12" w:name="_Toc51971437"/>
      <w:r>
        <w:t>-</w:t>
      </w:r>
      <w:r>
        <w:tab/>
      </w:r>
      <w:r>
        <w:t>Load reporting for inter-system load balancing.</w:t>
      </w:r>
    </w:p>
    <w:p>
      <w:pPr>
        <w:pStyle w:val="5"/>
        <w:rPr>
          <w:lang w:eastAsia="zh-CN"/>
        </w:rPr>
      </w:pPr>
      <w:bookmarkStart w:id="13" w:name="_Toc109153931"/>
      <w:r>
        <w:rPr>
          <w:lang w:eastAsia="zh-CN"/>
        </w:rPr>
        <w:t>15.5.1.2</w:t>
      </w:r>
      <w:r>
        <w:rPr>
          <w:lang w:eastAsia="zh-CN"/>
        </w:rPr>
        <w:tab/>
      </w:r>
      <w:r>
        <w:rPr>
          <w:lang w:eastAsia="zh-CN"/>
        </w:rPr>
        <w:t>Load reporting</w:t>
      </w:r>
      <w:bookmarkEnd w:id="10"/>
      <w:bookmarkEnd w:id="11"/>
      <w:bookmarkEnd w:id="12"/>
      <w:r>
        <w:rPr>
          <w:lang w:eastAsia="zh-CN"/>
        </w:rPr>
        <w:t xml:space="preserve"> for intra-RAT and intra-system inter-RAT load balancing</w:t>
      </w:r>
      <w:bookmarkEnd w:id="13"/>
    </w:p>
    <w:p>
      <w:pPr>
        <w:rPr>
          <w:rFonts w:ascii="Times New Roman" w:hAnsi="Times New Roman"/>
        </w:rPr>
      </w:pPr>
      <w:r>
        <w:rPr>
          <w:rFonts w:ascii="Times New Roman" w:hAnsi="Times New Roman"/>
        </w:rPr>
        <w:t>The load reporting function is executed by exchanging load information over the Xn/X2/F1/E1 interfaces.</w:t>
      </w:r>
    </w:p>
    <w:p>
      <w:pPr>
        <w:rPr>
          <w:rFonts w:ascii="Times New Roman" w:hAnsi="Times New Roman"/>
        </w:rPr>
      </w:pPr>
      <w:r>
        <w:rPr>
          <w:rFonts w:ascii="Times New Roman" w:hAnsi="Times New Roman"/>
        </w:rPr>
        <w:t>The following load related information should be supported which consists of:</w:t>
      </w:r>
    </w:p>
    <w:p>
      <w:pPr>
        <w:pStyle w:val="29"/>
        <w:rPr>
          <w:lang w:eastAsia="zh-CN"/>
        </w:rPr>
      </w:pPr>
      <w:r>
        <w:rPr>
          <w:lang w:eastAsia="zh-CN"/>
        </w:rPr>
        <w:t>-</w:t>
      </w:r>
      <w:r>
        <w:rPr>
          <w:lang w:eastAsia="zh-CN"/>
        </w:rPr>
        <w:tab/>
      </w:r>
      <w:r>
        <w:rPr>
          <w:lang w:eastAsia="zh-CN"/>
        </w:rPr>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pPr>
        <w:pStyle w:val="29"/>
        <w:rPr>
          <w:lang w:eastAsia="zh-CN"/>
        </w:rPr>
      </w:pPr>
      <w:r>
        <w:rPr>
          <w:lang w:eastAsia="zh-CN"/>
        </w:rPr>
        <w:t>-</w:t>
      </w:r>
      <w:r>
        <w:rPr>
          <w:lang w:eastAsia="zh-CN"/>
        </w:rPr>
        <w:tab/>
      </w:r>
      <w:r>
        <w:rPr>
          <w:lang w:eastAsia="zh-CN"/>
        </w:rPr>
        <w:t>TNL capacity indicator (UL/DL TNL offered capacity and available capacity);</w:t>
      </w:r>
    </w:p>
    <w:p>
      <w:pPr>
        <w:pStyle w:val="29"/>
        <w:rPr>
          <w:lang w:eastAsia="zh-CN"/>
        </w:rPr>
      </w:pPr>
      <w:r>
        <w:rPr>
          <w:lang w:eastAsia="zh-CN"/>
        </w:rPr>
        <w:t>-</w:t>
      </w:r>
      <w:r>
        <w:rPr>
          <w:lang w:eastAsia="zh-CN"/>
        </w:rPr>
        <w:tab/>
      </w:r>
      <w:r>
        <w:rPr>
          <w:lang w:eastAsia="zh-CN"/>
        </w:rPr>
        <w:t>Cell Capacity Class value (UL/DL relative capacity indicator);</w:t>
      </w:r>
    </w:p>
    <w:p>
      <w:pPr>
        <w:pStyle w:val="29"/>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pPr>
        <w:pStyle w:val="29"/>
        <w:rPr>
          <w:lang w:eastAsia="zh-CN"/>
        </w:rPr>
      </w:pPr>
      <w:r>
        <w:rPr>
          <w:lang w:eastAsia="zh-CN"/>
        </w:rPr>
        <w:t>-</w:t>
      </w:r>
      <w:r>
        <w:rPr>
          <w:lang w:eastAsia="zh-CN"/>
        </w:rPr>
        <w:tab/>
      </w:r>
      <w:r>
        <w:rPr>
          <w:lang w:eastAsia="zh-CN"/>
        </w:rPr>
        <w:t>HW capacity indicator (offered throughput and available throughput over E1, percentage utilisation over F1);</w:t>
      </w:r>
    </w:p>
    <w:p>
      <w:pPr>
        <w:pStyle w:val="29"/>
        <w:rPr>
          <w:lang w:eastAsia="zh-CN"/>
        </w:rPr>
      </w:pPr>
      <w:r>
        <w:rPr>
          <w:lang w:eastAsia="zh-CN"/>
        </w:rPr>
        <w:t>-</w:t>
      </w:r>
      <w:r>
        <w:rPr>
          <w:lang w:eastAsia="zh-CN"/>
        </w:rPr>
        <w:tab/>
      </w:r>
      <w:r>
        <w:rPr>
          <w:lang w:eastAsia="zh-CN"/>
        </w:rPr>
        <w:t>RRC connections (number of RRC connections, and available RRC Connection Capacity);</w:t>
      </w:r>
    </w:p>
    <w:p>
      <w:pPr>
        <w:pStyle w:val="29"/>
        <w:rPr>
          <w:lang w:eastAsia="zh-CN"/>
        </w:rPr>
      </w:pPr>
      <w:r>
        <w:rPr>
          <w:lang w:eastAsia="zh-CN"/>
        </w:rPr>
        <w:t>-</w:t>
      </w:r>
      <w:r>
        <w:rPr>
          <w:lang w:eastAsia="zh-CN"/>
        </w:rPr>
        <w:tab/>
      </w:r>
      <w:r>
        <w:rPr>
          <w:lang w:eastAsia="zh-CN"/>
        </w:rPr>
        <w:t>Number of active UEs.</w:t>
      </w:r>
    </w:p>
    <w:p>
      <w:pPr>
        <w:rPr>
          <w:rFonts w:ascii="Times New Roman" w:hAnsi="Times New Roman"/>
        </w:rPr>
      </w:pPr>
      <w:r>
        <w:rPr>
          <w:rFonts w:ascii="Times New Roman" w:hAnsi="Times New Roman"/>
        </w:rPr>
        <w:t>To achieve load reporting function, Resource Status Reporting Initiation &amp; Resource Status Reporting procedures are used.</w:t>
      </w:r>
    </w:p>
    <w:p>
      <w:pPr>
        <w:keepNext/>
        <w:keepLines/>
        <w:spacing w:before="120" w:after="180"/>
        <w:ind w:left="1418" w:hanging="1418"/>
        <w:outlineLvl w:val="3"/>
        <w:rPr>
          <w:sz w:val="24"/>
          <w:lang w:eastAsia="zh-CN"/>
        </w:rPr>
      </w:pPr>
      <w:r>
        <w:rPr>
          <w:sz w:val="24"/>
          <w:lang w:eastAsia="zh-CN"/>
        </w:rPr>
        <w:t>15.5.1.3</w:t>
      </w:r>
      <w:r>
        <w:rPr>
          <w:sz w:val="24"/>
          <w:lang w:eastAsia="zh-CN"/>
        </w:rPr>
        <w:tab/>
      </w:r>
      <w:r>
        <w:rPr>
          <w:sz w:val="24"/>
          <w:lang w:eastAsia="zh-CN"/>
        </w:rPr>
        <w:t>Load balancing action based on handovers</w:t>
      </w:r>
    </w:p>
    <w:p>
      <w:pPr>
        <w:rPr>
          <w:rFonts w:ascii="Times New Roman" w:hAnsi="Times New Roman"/>
        </w:rPr>
      </w:pPr>
      <w:r>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pPr>
        <w:pStyle w:val="5"/>
        <w:rPr>
          <w:lang w:eastAsia="zh-CN"/>
        </w:rPr>
      </w:pPr>
      <w:bookmarkStart w:id="14" w:name="_Toc46502090"/>
      <w:bookmarkStart w:id="15" w:name="_Toc51971438"/>
      <w:bookmarkStart w:id="16" w:name="_Toc52551421"/>
      <w:bookmarkStart w:id="17" w:name="_Toc109153932"/>
      <w:r>
        <w:rPr>
          <w:lang w:eastAsia="zh-CN"/>
        </w:rPr>
        <w:t>15.5.1.4</w:t>
      </w:r>
      <w:r>
        <w:rPr>
          <w:lang w:eastAsia="zh-CN"/>
        </w:rPr>
        <w:tab/>
      </w:r>
      <w:r>
        <w:rPr>
          <w:lang w:eastAsia="zh-CN"/>
        </w:rPr>
        <w:t>Adapting handover and/or reselection configuration</w:t>
      </w:r>
      <w:bookmarkEnd w:id="14"/>
      <w:bookmarkEnd w:id="15"/>
      <w:bookmarkEnd w:id="16"/>
      <w:bookmarkEnd w:id="17"/>
    </w:p>
    <w:p>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pPr>
        <w:rPr>
          <w:rFonts w:ascii="Times New Roman" w:hAnsi="Times New Roman"/>
        </w:rPr>
      </w:pPr>
      <w:r>
        <w:rPr>
          <w:rFonts w:ascii="Times New Roman" w:hAnsi="Times New Roman"/>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pPr>
        <w:rPr>
          <w:rFonts w:ascii="Times New Roman" w:hAnsi="Times New Roman"/>
        </w:rPr>
      </w:pPr>
      <w:r>
        <w:rPr>
          <w:rFonts w:ascii="Times New Roman" w:hAnsi="Times New Roman"/>
        </w:rPr>
        <w:t>All automatic changes on the HO and/or reselection parameters must be within the range allowed by OAM.</w:t>
      </w:r>
    </w:p>
    <w:p>
      <w:pPr>
        <w:pStyle w:val="5"/>
        <w:rPr>
          <w:lang w:eastAsia="zh-CN"/>
        </w:rPr>
      </w:pPr>
      <w:bookmarkStart w:id="18" w:name="_Toc109153933"/>
      <w:bookmarkStart w:id="19" w:name="_Toc51971439"/>
      <w:bookmarkStart w:id="20" w:name="_Toc52551422"/>
      <w:bookmarkStart w:id="21" w:name="_Toc46502091"/>
      <w:r>
        <w:rPr>
          <w:lang w:eastAsia="zh-CN"/>
        </w:rPr>
        <w:t>15.5.1.5</w:t>
      </w:r>
      <w:r>
        <w:rPr>
          <w:lang w:eastAsia="zh-CN"/>
        </w:rPr>
        <w:tab/>
      </w:r>
      <w:r>
        <w:rPr>
          <w:lang w:eastAsia="zh-CN"/>
        </w:rPr>
        <w:t>Load reporting for inter-system load balancing</w:t>
      </w:r>
      <w:bookmarkEnd w:id="18"/>
    </w:p>
    <w:p>
      <w:pPr>
        <w:rPr>
          <w:rFonts w:ascii="Times New Roman" w:hAnsi="Times New Roman"/>
        </w:rPr>
      </w:pPr>
      <w:r>
        <w:rPr>
          <w:rFonts w:ascii="Times New Roman" w:hAnsi="Times New Roman"/>
        </w:rPr>
        <w:t>The load reporting function for inter-system load balancing is executed by exchanging load information between NG-RAN and E-UTRAN. Both event-triggered and periodic inter-system load reporting are supported. Event-triggered inter-system load reports are sent when the reporting node detects crossing of cell load thresholds.</w:t>
      </w:r>
    </w:p>
    <w:p>
      <w:pPr>
        <w:rPr>
          <w:rFonts w:ascii="Times New Roman" w:hAnsi="Times New Roman"/>
        </w:rPr>
      </w:pPr>
      <w:r>
        <w:rPr>
          <w:rFonts w:ascii="Times New Roman" w:hAnsi="Times New Roman"/>
        </w:rPr>
        <w:t>The following load related information should be supported:</w:t>
      </w:r>
    </w:p>
    <w:p>
      <w:pPr>
        <w:pStyle w:val="29"/>
      </w:pPr>
      <w:r>
        <w:t>-</w:t>
      </w:r>
      <w:r>
        <w:tab/>
      </w:r>
      <w:r>
        <w:t>Cell Capacity Class value (UL/DL relative capacity indicator);</w:t>
      </w:r>
    </w:p>
    <w:p>
      <w:pPr>
        <w:pStyle w:val="29"/>
        <w:rPr>
          <w:rFonts w:eastAsia="Arial Unicode MS"/>
        </w:rPr>
      </w:pPr>
      <w:r>
        <w:t>-</w:t>
      </w:r>
      <w:r>
        <w:tab/>
      </w:r>
      <w:r>
        <w:rPr>
          <w:rFonts w:eastAsia="Arial Unicode MS"/>
        </w:rPr>
        <w:t>Capacity value (per cell: UL/DL available capacity);</w:t>
      </w:r>
    </w:p>
    <w:p>
      <w:pPr>
        <w:pStyle w:val="29"/>
      </w:pPr>
      <w:r>
        <w:t>-</w:t>
      </w:r>
      <w:r>
        <w:tab/>
      </w:r>
      <w:r>
        <w:t>RRC connections (number of RRC connections, and available RRC Connection Capacity);</w:t>
      </w:r>
    </w:p>
    <w:p>
      <w:pPr>
        <w:pStyle w:val="29"/>
      </w:pPr>
      <w:r>
        <w:t>-</w:t>
      </w:r>
      <w:r>
        <w:tab/>
      </w:r>
      <w:r>
        <w:t>Number of active UEs;</w:t>
      </w:r>
    </w:p>
    <w:p>
      <w:pPr>
        <w:pStyle w:val="29"/>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usage for MIMO, DL/UL non-GBR PRB usage for MIMO, DL/UL total PRB usage for MIMO</w:t>
      </w:r>
      <w:r>
        <w:t>).</w:t>
      </w:r>
    </w:p>
    <w:p>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pPr>
        <w:rPr>
          <w:rFonts w:ascii="Times New Roman" w:hAnsi="Times New Roman"/>
        </w:rPr>
      </w:pPr>
      <w:r>
        <w:rPr>
          <w:rFonts w:ascii="Times New Roman" w:hAnsi="Times New Roman"/>
        </w:rPr>
        <w:t>S1AP procedures used for inter-system load balancing are eNB Configuration Transfer and MME Configuration Transfer.</w:t>
      </w:r>
    </w:p>
    <w:p>
      <w:pPr>
        <w:pStyle w:val="4"/>
        <w:spacing w:before="180"/>
        <w:rPr>
          <w:lang w:eastAsia="zh-CN"/>
        </w:rPr>
      </w:pPr>
      <w:bookmarkStart w:id="22" w:name="_Toc109153934"/>
      <w:r>
        <w:rPr>
          <w:lang w:eastAsia="zh-CN"/>
        </w:rPr>
        <w:t>15.5.2</w:t>
      </w:r>
      <w:r>
        <w:rPr>
          <w:lang w:eastAsia="zh-CN"/>
        </w:rPr>
        <w:tab/>
      </w:r>
      <w:r>
        <w:rPr>
          <w:lang w:eastAsia="zh-CN"/>
        </w:rPr>
        <w:t>Support for Mobility Robustness Optimization</w:t>
      </w:r>
      <w:bookmarkEnd w:id="19"/>
      <w:bookmarkEnd w:id="20"/>
      <w:bookmarkEnd w:id="21"/>
      <w:bookmarkEnd w:id="22"/>
    </w:p>
    <w:p>
      <w:pPr>
        <w:pStyle w:val="5"/>
        <w:rPr>
          <w:lang w:eastAsia="zh-CN"/>
        </w:rPr>
      </w:pPr>
      <w:bookmarkStart w:id="23" w:name="_Toc52551423"/>
      <w:bookmarkStart w:id="24" w:name="_Toc109153935"/>
      <w:bookmarkStart w:id="25" w:name="_Toc46502092"/>
      <w:bookmarkStart w:id="26" w:name="_Toc51971440"/>
      <w:r>
        <w:rPr>
          <w:lang w:eastAsia="zh-CN"/>
        </w:rPr>
        <w:t>15.5.2.1</w:t>
      </w:r>
      <w:r>
        <w:rPr>
          <w:lang w:eastAsia="zh-CN"/>
        </w:rPr>
        <w:tab/>
      </w:r>
      <w:r>
        <w:rPr>
          <w:lang w:eastAsia="zh-CN"/>
        </w:rPr>
        <w:t>General</w:t>
      </w:r>
      <w:bookmarkEnd w:id="23"/>
      <w:bookmarkEnd w:id="24"/>
      <w:bookmarkEnd w:id="25"/>
      <w:bookmarkEnd w:id="26"/>
    </w:p>
    <w:p>
      <w:pPr>
        <w:rPr>
          <w:rFonts w:ascii="Times New Roman" w:hAnsi="Times New Roman"/>
        </w:rPr>
      </w:pPr>
      <w:r>
        <w:rPr>
          <w:rFonts w:ascii="Times New Roman" w:hAnsi="Times New Roman"/>
        </w:rPr>
        <w:t>Mobility Robustness Optimisation aims at detecting and enabling correction of following problems:</w:t>
      </w:r>
    </w:p>
    <w:p>
      <w:pPr>
        <w:pStyle w:val="29"/>
        <w:rPr>
          <w:lang w:eastAsia="zh-CN"/>
        </w:rPr>
      </w:pPr>
      <w:r>
        <w:rPr>
          <w:lang w:eastAsia="zh-CN"/>
        </w:rPr>
        <w:t>-</w:t>
      </w:r>
      <w:r>
        <w:rPr>
          <w:lang w:eastAsia="zh-CN"/>
        </w:rPr>
        <w:tab/>
      </w:r>
      <w:r>
        <w:rPr>
          <w:lang w:eastAsia="zh-CN"/>
        </w:rPr>
        <w:t>Connection failure due to intra-system or inter-system mobility;</w:t>
      </w:r>
    </w:p>
    <w:p>
      <w:pPr>
        <w:pStyle w:val="29"/>
        <w:rPr>
          <w:lang w:eastAsia="zh-CN"/>
        </w:rPr>
      </w:pPr>
      <w:r>
        <w:rPr>
          <w:lang w:eastAsia="zh-CN"/>
        </w:rPr>
        <w:t>-</w:t>
      </w:r>
      <w:r>
        <w:rPr>
          <w:lang w:eastAsia="zh-CN"/>
        </w:rPr>
        <w:tab/>
      </w:r>
      <w:r>
        <w:rPr>
          <w:lang w:eastAsia="zh-CN"/>
        </w:rPr>
        <w:t xml:space="preserve">Inter-system Unnecessary HO (too early inter-system HO </w:t>
      </w:r>
      <w:r>
        <w:t>from NR to E-UTRAN</w:t>
      </w:r>
      <w:r>
        <w:rPr>
          <w:lang w:eastAsia="zh-CN"/>
        </w:rPr>
        <w:t xml:space="preserve"> with no radio link failure);</w:t>
      </w:r>
    </w:p>
    <w:p>
      <w:pPr>
        <w:pStyle w:val="29"/>
        <w:rPr>
          <w:lang w:eastAsia="zh-CN"/>
        </w:rPr>
      </w:pPr>
      <w:r>
        <w:rPr>
          <w:lang w:eastAsia="zh-CN"/>
        </w:rPr>
        <w:t>-</w:t>
      </w:r>
      <w:r>
        <w:rPr>
          <w:lang w:eastAsia="zh-CN"/>
        </w:rPr>
        <w:tab/>
      </w:r>
      <w:r>
        <w:rPr>
          <w:lang w:eastAsia="zh-CN"/>
        </w:rPr>
        <w:t>Inter-system HO ping-pong;</w:t>
      </w:r>
    </w:p>
    <w:p>
      <w:pPr>
        <w:pStyle w:val="29"/>
        <w:rPr>
          <w:ins w:id="0" w:author="CMCC" w:date="2022-09-28T12:27:00Z"/>
          <w:rFonts w:eastAsiaTheme="minorEastAsia"/>
          <w:lang w:eastAsia="zh-CN"/>
        </w:rPr>
      </w:pPr>
      <w:r>
        <w:rPr>
          <w:lang w:eastAsia="zh-CN"/>
        </w:rPr>
        <w:t>-</w:t>
      </w:r>
      <w:r>
        <w:rPr>
          <w:lang w:eastAsia="zh-CN"/>
        </w:rPr>
        <w:tab/>
      </w:r>
      <w:r>
        <w:rPr>
          <w:lang w:eastAsia="zh-CN"/>
        </w:rPr>
        <w:t>PSCell change failure.</w:t>
      </w:r>
    </w:p>
    <w:p>
      <w:pPr>
        <w:pStyle w:val="29"/>
        <w:rPr>
          <w:ins w:id="1" w:author="CMCC" w:date="2022-09-28T12:29:00Z"/>
          <w:rFonts w:eastAsiaTheme="minorEastAsia"/>
          <w:lang w:eastAsia="zh-CN"/>
        </w:rPr>
      </w:pPr>
      <w:ins w:id="2" w:author="CMCC" w:date="2022-09-28T12:28:00Z">
        <w:r>
          <w:rPr>
            <w:rFonts w:hint="eastAsia" w:eastAsiaTheme="minorEastAsia"/>
            <w:lang w:eastAsia="zh-CN"/>
          </w:rPr>
          <w:t>-</w:t>
        </w:r>
      </w:ins>
      <w:ins w:id="3" w:author="CMCC" w:date="2022-09-28T12:28:00Z">
        <w:r>
          <w:rPr>
            <w:rFonts w:hint="eastAsia" w:eastAsiaTheme="minorEastAsia"/>
            <w:lang w:eastAsia="zh-CN"/>
          </w:rPr>
          <w:tab/>
        </w:r>
      </w:ins>
      <w:ins w:id="4" w:author="CMCC" w:date="2022-09-28T12:28:00Z">
        <w:r>
          <w:rPr>
            <w:rFonts w:hint="eastAsia" w:eastAsiaTheme="minorEastAsia"/>
            <w:lang w:eastAsia="zh-CN"/>
          </w:rPr>
          <w:t>Inter-system voice fallback failure</w:t>
        </w:r>
      </w:ins>
    </w:p>
    <w:p>
      <w:pPr>
        <w:pStyle w:val="29"/>
        <w:rPr>
          <w:rFonts w:eastAsiaTheme="minorEastAsia"/>
          <w:lang w:eastAsia="zh-CN"/>
          <w:rPrChange w:id="5" w:author="CMCC" w:date="2022-09-28T12:27:00Z">
            <w:rPr>
              <w:lang w:eastAsia="zh-CN"/>
            </w:rPr>
          </w:rPrChange>
        </w:rPr>
      </w:pPr>
      <w:ins w:id="6" w:author="CMCC" w:date="2022-09-28T12:29:00Z">
        <w:r>
          <w:rPr>
            <w:rFonts w:hint="eastAsia" w:eastAsiaTheme="minorEastAsia"/>
            <w:lang w:eastAsia="zh-CN"/>
          </w:rPr>
          <w:t>-</w:t>
        </w:r>
      </w:ins>
      <w:ins w:id="7" w:author="CMCC" w:date="2022-09-28T12:29:00Z">
        <w:r>
          <w:rPr>
            <w:rFonts w:hint="eastAsia" w:eastAsiaTheme="minorEastAsia"/>
            <w:lang w:eastAsia="zh-CN"/>
          </w:rPr>
          <w:tab/>
        </w:r>
      </w:ins>
      <w:ins w:id="8" w:author="CMCC" w:date="2022-09-28T12:29:00Z">
        <w:r>
          <w:rPr>
            <w:rFonts w:hint="eastAsia" w:eastAsiaTheme="minorEastAsia"/>
            <w:lang w:eastAsia="zh-CN"/>
          </w:rPr>
          <w:t>Fast MCG recovery failure</w:t>
        </w:r>
      </w:ins>
    </w:p>
    <w:p>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pPr>
        <w:pStyle w:val="29"/>
        <w:rPr>
          <w:ins w:id="9" w:author="CMCC" w:date="2022-09-28T12:25:00Z"/>
          <w:rFonts w:eastAsiaTheme="minorEastAsia"/>
          <w:lang w:eastAsia="zh-CN"/>
        </w:rPr>
      </w:pPr>
      <w:r>
        <w:rPr>
          <w:lang w:eastAsia="zh-CN"/>
        </w:rPr>
        <w:t>-</w:t>
      </w:r>
      <w:r>
        <w:rPr>
          <w:lang w:eastAsia="zh-CN"/>
        </w:rPr>
        <w:tab/>
      </w:r>
      <w:r>
        <w:rPr>
          <w:lang w:eastAsia="zh-CN"/>
        </w:rPr>
        <w:t>Successful HO due to intra-NR mobility.</w:t>
      </w:r>
    </w:p>
    <w:p>
      <w:pPr>
        <w:pStyle w:val="29"/>
        <w:rPr>
          <w:rFonts w:eastAsiaTheme="minorEastAsia"/>
          <w:lang w:eastAsia="zh-CN"/>
          <w:rPrChange w:id="10" w:author="CMCC" w:date="2022-09-28T12:25:00Z">
            <w:rPr>
              <w:lang w:eastAsia="zh-CN"/>
            </w:rPr>
          </w:rPrChange>
        </w:rPr>
      </w:pPr>
      <w:ins w:id="11" w:author="CMCC" w:date="2022-09-28T12:25:00Z">
        <w:r>
          <w:rPr>
            <w:rFonts w:hint="eastAsia" w:eastAsiaTheme="minorEastAsia"/>
            <w:lang w:eastAsia="zh-CN"/>
          </w:rPr>
          <w:t>-</w:t>
        </w:r>
      </w:ins>
      <w:ins w:id="12" w:author="CMCC" w:date="2022-09-28T12:25:00Z">
        <w:r>
          <w:rPr>
            <w:rFonts w:hint="eastAsia" w:eastAsiaTheme="minorEastAsia"/>
            <w:lang w:eastAsia="zh-CN"/>
          </w:rPr>
          <w:tab/>
        </w:r>
      </w:ins>
      <w:ins w:id="13" w:author="CMCC" w:date="2022-09-28T12:25:00Z">
        <w:r>
          <w:rPr>
            <w:rFonts w:hint="eastAsia" w:eastAsiaTheme="minorEastAsia"/>
            <w:lang w:eastAsia="zh-CN"/>
          </w:rPr>
          <w:t>Successful HO due to</w:t>
        </w:r>
      </w:ins>
      <w:ins w:id="14" w:author="CMCC" w:date="2022-09-28T12:26:00Z">
        <w:r>
          <w:rPr>
            <w:rFonts w:hint="eastAsia" w:eastAsiaTheme="minorEastAsia"/>
            <w:lang w:eastAsia="zh-CN"/>
          </w:rPr>
          <w:t xml:space="preserve"> inter-RAT mobility</w:t>
        </w:r>
      </w:ins>
    </w:p>
    <w:p>
      <w:pPr>
        <w:rPr>
          <w:ins w:id="15" w:author="CMCC" w:date="2022-09-28T12:26:00Z"/>
          <w:rFonts w:ascii="Times New Roman" w:hAnsi="Times New Roman" w:eastAsiaTheme="minorEastAsia"/>
          <w:lang w:eastAsia="zh-CN"/>
        </w:rPr>
      </w:pPr>
      <w:ins w:id="16" w:author="CMCC" w:date="2022-09-28T12:26:00Z">
        <w:r>
          <w:rPr>
            <w:rFonts w:ascii="Times New Roman" w:hAnsi="Times New Roman" w:eastAsiaTheme="minorEastAsia"/>
            <w:lang w:eastAsia="zh-CN"/>
          </w:rPr>
          <w:t xml:space="preserve">For detection of a sub-optimal successful </w:t>
        </w:r>
      </w:ins>
      <w:ins w:id="17" w:author="CMCC" w:date="2022-09-28T12:26:00Z">
        <w:r>
          <w:rPr>
            <w:rFonts w:hint="eastAsia" w:ascii="Times New Roman" w:hAnsi="Times New Roman" w:eastAsiaTheme="minorEastAsia"/>
            <w:lang w:eastAsia="zh-CN"/>
          </w:rPr>
          <w:t>PScell change</w:t>
        </w:r>
      </w:ins>
      <w:ins w:id="18" w:author="CMCC" w:date="2022-09-28T12:26:00Z">
        <w:r>
          <w:rPr>
            <w:rFonts w:ascii="Times New Roman" w:hAnsi="Times New Roman" w:eastAsiaTheme="minorEastAsia"/>
            <w:lang w:eastAsia="zh-CN"/>
          </w:rPr>
          <w:t>, MRO additionally enables observability of:</w:t>
        </w:r>
      </w:ins>
    </w:p>
    <w:p>
      <w:pPr>
        <w:pStyle w:val="29"/>
        <w:rPr>
          <w:ins w:id="19" w:author="CMCC" w:date="2022-09-28T12:26:00Z"/>
          <w:rFonts w:eastAsiaTheme="minorEastAsia"/>
          <w:lang w:eastAsia="zh-CN"/>
        </w:rPr>
      </w:pPr>
      <w:ins w:id="20" w:author="CMCC" w:date="2022-09-28T12:26:00Z">
        <w:r>
          <w:rPr>
            <w:lang w:eastAsia="zh-CN"/>
          </w:rPr>
          <w:t>-</w:t>
        </w:r>
      </w:ins>
      <w:ins w:id="21" w:author="CMCC" w:date="2022-09-28T12:26:00Z">
        <w:r>
          <w:rPr>
            <w:lang w:eastAsia="zh-CN"/>
          </w:rPr>
          <w:tab/>
        </w:r>
      </w:ins>
      <w:ins w:id="22" w:author="CMCC" w:date="2022-09-28T12:26:00Z">
        <w:r>
          <w:rPr>
            <w:lang w:eastAsia="zh-CN"/>
          </w:rPr>
          <w:t xml:space="preserve">Successful </w:t>
        </w:r>
      </w:ins>
      <w:ins w:id="23" w:author="CMCC" w:date="2022-09-28T12:27:00Z">
        <w:r>
          <w:rPr>
            <w:rFonts w:hint="eastAsia" w:eastAsiaTheme="minorEastAsia"/>
            <w:lang w:eastAsia="zh-CN"/>
          </w:rPr>
          <w:t>PScell change</w:t>
        </w:r>
      </w:ins>
    </w:p>
    <w:p>
      <w:pPr>
        <w:rPr>
          <w:ins w:id="24" w:author="CMCC" w:date="2022-09-28T12:29:00Z"/>
          <w:rFonts w:eastAsiaTheme="minorEastAsia"/>
          <w:lang w:eastAsia="zh-CN"/>
        </w:rPr>
      </w:pPr>
    </w:p>
    <w:p>
      <w:pPr>
        <w:rPr>
          <w:rFonts w:ascii="Times New Roman" w:hAnsi="Times New Roman" w:eastAsiaTheme="minorEastAsia"/>
          <w:lang w:eastAsia="zh-CN"/>
        </w:rPr>
      </w:pPr>
      <w:r>
        <w:rPr>
          <w:rFonts w:ascii="Times New Roman" w:hAnsi="Times New Roman" w:eastAsiaTheme="minorEastAsia"/>
          <w:lang w:eastAsia="zh-CN"/>
        </w:rPr>
        <w:t>Omit the others parts that are not changed at the moment</w:t>
      </w:r>
    </w:p>
    <w:p>
      <w:pPr>
        <w:ind w:left="284" w:hanging="284" w:hangingChars="142"/>
      </w:pPr>
      <w:r>
        <w:t>******************************************************End of Change********************************************************</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E33488"/>
    <w:multiLevelType w:val="multilevel"/>
    <w:tmpl w:val="04E33488"/>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4987"/>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9B8"/>
    <w:rsid w:val="004C4F85"/>
    <w:rsid w:val="004C53EA"/>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48C"/>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6504"/>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10C4"/>
    <w:rsid w:val="009D17AF"/>
    <w:rsid w:val="009D386E"/>
    <w:rsid w:val="009E0189"/>
    <w:rsid w:val="009E394B"/>
    <w:rsid w:val="009E46D3"/>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412"/>
    <w:rsid w:val="00CF47F1"/>
    <w:rsid w:val="00CF5ACD"/>
    <w:rsid w:val="00CF6883"/>
    <w:rsid w:val="00CF6AF8"/>
    <w:rsid w:val="00CF7766"/>
    <w:rsid w:val="00CF78D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 w:val="09C43C7B"/>
    <w:rsid w:val="0C8D0AE6"/>
    <w:rsid w:val="16244A76"/>
    <w:rsid w:val="1ED54D4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0"/>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69"/>
    <w:qFormat/>
    <w:uiPriority w:val="0"/>
    <w:rPr>
      <w:rFonts w:ascii="宋体" w:eastAsia="宋体"/>
      <w:sz w:val="18"/>
      <w:szCs w:val="18"/>
    </w:rPr>
  </w:style>
  <w:style w:type="paragraph" w:styleId="10">
    <w:name w:val="annotation text"/>
    <w:basedOn w:val="1"/>
    <w:link w:val="57"/>
    <w:qFormat/>
    <w:uiPriority w:val="0"/>
  </w:style>
  <w:style w:type="paragraph" w:styleId="11">
    <w:name w:val="Body Text"/>
    <w:basedOn w:val="1"/>
    <w:link w:val="46"/>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73"/>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6"/>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widowControl w:val="0"/>
      <w:overflowPunct/>
      <w:autoSpaceDE/>
      <w:autoSpaceDN/>
      <w:adjustRightInd/>
      <w:spacing w:beforeAutospacing="1" w:after="0" w:afterAutospacing="1"/>
      <w:jc w:val="both"/>
      <w:textAlignment w:val="auto"/>
    </w:pPr>
    <w:rPr>
      <w:rFonts w:asciiTheme="minorHAnsi" w:hAnsiTheme="minorHAnsi" w:eastAsiaTheme="minorEastAsia" w:cstheme="minorBidi"/>
      <w:kern w:val="2"/>
      <w:sz w:val="24"/>
      <w:szCs w:val="22"/>
      <w:lang w:val="en-US" w:eastAsia="zh-CN"/>
    </w:rPr>
  </w:style>
  <w:style w:type="paragraph" w:styleId="21">
    <w:name w:val="annotation subject"/>
    <w:basedOn w:val="10"/>
    <w:next w:val="10"/>
    <w:link w:val="58"/>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Hyperlink"/>
    <w:unhideWhenUsed/>
    <w:qFormat/>
    <w:uiPriority w:val="99"/>
    <w:rPr>
      <w:color w:val="464E90"/>
      <w:u w:val="none"/>
    </w:rPr>
  </w:style>
  <w:style w:type="character" w:styleId="27">
    <w:name w:val="annotation reference"/>
    <w:qFormat/>
    <w:uiPriority w:val="0"/>
    <w:rPr>
      <w:sz w:val="21"/>
      <w:szCs w:val="21"/>
    </w:rPr>
  </w:style>
  <w:style w:type="paragraph" w:customStyle="1" w:styleId="28">
    <w:name w:val="CR Cover Page"/>
    <w:link w:val="75"/>
    <w:qFormat/>
    <w:uiPriority w:val="0"/>
    <w:pPr>
      <w:spacing w:after="120"/>
    </w:pPr>
    <w:rPr>
      <w:rFonts w:ascii="Arial" w:hAnsi="Arial" w:eastAsia="MS Mincho" w:cs="Times New Roman"/>
      <w:lang w:val="en-GB" w:eastAsia="en-US" w:bidi="ar-SA"/>
    </w:rPr>
  </w:style>
  <w:style w:type="paragraph" w:customStyle="1" w:styleId="29">
    <w:name w:val="B1"/>
    <w:basedOn w:val="18"/>
    <w:link w:val="33"/>
    <w:qFormat/>
    <w:uiPriority w:val="0"/>
    <w:pPr>
      <w:spacing w:after="180"/>
      <w:ind w:left="568" w:hanging="284"/>
    </w:pPr>
    <w:rPr>
      <w:rFonts w:ascii="Times New Roman" w:hAnsi="Times New Roman"/>
    </w:rPr>
  </w:style>
  <w:style w:type="paragraph" w:customStyle="1" w:styleId="30">
    <w:name w:val="B2"/>
    <w:basedOn w:val="12"/>
    <w:qFormat/>
    <w:uiPriority w:val="0"/>
    <w:pPr>
      <w:spacing w:after="180"/>
      <w:ind w:left="851" w:hanging="284"/>
    </w:pPr>
  </w:style>
  <w:style w:type="paragraph" w:customStyle="1" w:styleId="31">
    <w:name w:val="B3"/>
    <w:basedOn w:val="8"/>
    <w:qFormat/>
    <w:uiPriority w:val="0"/>
    <w:pPr>
      <w:spacing w:after="180"/>
      <w:ind w:left="1135" w:hanging="284"/>
    </w:pPr>
  </w:style>
  <w:style w:type="paragraph" w:customStyle="1" w:styleId="32">
    <w:name w:val="B5"/>
    <w:basedOn w:val="19"/>
    <w:qFormat/>
    <w:uiPriority w:val="0"/>
    <w:pPr>
      <w:spacing w:after="180"/>
      <w:ind w:left="1702" w:hanging="284"/>
    </w:pPr>
  </w:style>
  <w:style w:type="character" w:customStyle="1" w:styleId="33">
    <w:name w:val="B1 Char1"/>
    <w:link w:val="29"/>
    <w:qFormat/>
    <w:uiPriority w:val="0"/>
    <w:rPr>
      <w:rFonts w:eastAsia="MS Mincho"/>
      <w:lang w:val="en-GB" w:eastAsia="en-US" w:bidi="ar-SA"/>
    </w:rPr>
  </w:style>
  <w:style w:type="paragraph" w:customStyle="1" w:styleId="34">
    <w:name w:val="B0"/>
    <w:basedOn w:val="29"/>
    <w:qFormat/>
    <w:uiPriority w:val="0"/>
    <w:pPr>
      <w:ind w:left="284"/>
    </w:pPr>
    <w:rPr>
      <w:lang w:eastAsia="ja-JP"/>
    </w:rPr>
  </w:style>
  <w:style w:type="paragraph" w:customStyle="1" w:styleId="35">
    <w:name w:val="NO"/>
    <w:basedOn w:val="1"/>
    <w:qFormat/>
    <w:uiPriority w:val="0"/>
    <w:pPr>
      <w:keepLines/>
      <w:spacing w:after="180"/>
      <w:ind w:left="1135" w:hanging="851"/>
    </w:pPr>
  </w:style>
  <w:style w:type="paragraph" w:customStyle="1" w:styleId="36">
    <w:name w:val="TF"/>
    <w:basedOn w:val="37"/>
    <w:link w:val="55"/>
    <w:qFormat/>
    <w:uiPriority w:val="0"/>
    <w:pPr>
      <w:keepNext w:val="0"/>
      <w:spacing w:before="0" w:after="240"/>
    </w:pPr>
  </w:style>
  <w:style w:type="paragraph" w:customStyle="1" w:styleId="37">
    <w:name w:val="TH"/>
    <w:basedOn w:val="1"/>
    <w:link w:val="60"/>
    <w:qFormat/>
    <w:uiPriority w:val="0"/>
    <w:pPr>
      <w:keepNext/>
      <w:keepLines/>
      <w:spacing w:before="60" w:after="180"/>
      <w:jc w:val="center"/>
    </w:pPr>
    <w:rPr>
      <w:b/>
    </w:rPr>
  </w:style>
  <w:style w:type="paragraph" w:customStyle="1" w:styleId="38">
    <w:name w:val="Reference"/>
    <w:basedOn w:val="1"/>
    <w:qFormat/>
    <w:uiPriority w:val="0"/>
    <w:pPr>
      <w:ind w:left="709" w:hanging="709"/>
    </w:pPr>
    <w:rPr>
      <w:lang w:eastAsia="ja-JP"/>
    </w:rPr>
  </w:style>
  <w:style w:type="paragraph" w:customStyle="1" w:styleId="39">
    <w:name w:val="Quotation"/>
    <w:basedOn w:val="38"/>
    <w:qFormat/>
    <w:uiPriority w:val="0"/>
    <w:pPr>
      <w:ind w:left="567" w:firstLine="0"/>
    </w:pPr>
    <w:rPr>
      <w:rFonts w:ascii="Times New Roman" w:hAnsi="Times New Roman"/>
      <w:color w:val="0070C0"/>
    </w:rPr>
  </w:style>
  <w:style w:type="character" w:customStyle="1" w:styleId="40">
    <w:name w:val="标题 6 Char"/>
    <w:link w:val="7"/>
    <w:qFormat/>
    <w:uiPriority w:val="0"/>
    <w:rPr>
      <w:rFonts w:ascii="Arial" w:hAnsi="Arial" w:eastAsia="MS Mincho"/>
      <w:lang w:eastAsia="en-US"/>
    </w:rPr>
  </w:style>
  <w:style w:type="paragraph" w:customStyle="1" w:styleId="41">
    <w:name w:val="Head 6"/>
    <w:basedOn w:val="1"/>
    <w:next w:val="1"/>
    <w:qFormat/>
    <w:uiPriority w:val="0"/>
    <w:pPr>
      <w:spacing w:before="120" w:after="180"/>
      <w:ind w:left="1985" w:hanging="1985"/>
    </w:pPr>
    <w:rPr>
      <w:rFonts w:eastAsia="Times New Roman"/>
    </w:rPr>
  </w:style>
  <w:style w:type="paragraph" w:customStyle="1" w:styleId="42">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3">
    <w:name w:val="Observation"/>
    <w:basedOn w:val="42"/>
    <w:qFormat/>
    <w:uiPriority w:val="0"/>
    <w:pPr>
      <w:numPr>
        <w:ilvl w:val="0"/>
        <w:numId w:val="2"/>
      </w:numPr>
      <w:ind w:left="1701" w:hanging="1701"/>
    </w:pPr>
  </w:style>
  <w:style w:type="paragraph" w:customStyle="1" w:styleId="44">
    <w:name w:val="Editor's Note"/>
    <w:basedOn w:val="35"/>
    <w:link w:val="45"/>
    <w:qFormat/>
    <w:uiPriority w:val="0"/>
    <w:pPr>
      <w:overflowPunct/>
      <w:autoSpaceDE/>
      <w:autoSpaceDN/>
      <w:adjustRightInd/>
      <w:textAlignment w:val="auto"/>
    </w:pPr>
    <w:rPr>
      <w:rFonts w:ascii="Times New Roman" w:hAnsi="Times New Roman"/>
      <w:color w:val="FF0000"/>
    </w:rPr>
  </w:style>
  <w:style w:type="character" w:customStyle="1" w:styleId="45">
    <w:name w:val="Editor's Note Char"/>
    <w:link w:val="44"/>
    <w:qFormat/>
    <w:uiPriority w:val="0"/>
    <w:rPr>
      <w:rFonts w:eastAsia="MS Mincho"/>
      <w:color w:val="FF0000"/>
      <w:lang w:eastAsia="en-US"/>
    </w:rPr>
  </w:style>
  <w:style w:type="character" w:customStyle="1" w:styleId="46">
    <w:name w:val="正文文本 Char"/>
    <w:link w:val="11"/>
    <w:qFormat/>
    <w:uiPriority w:val="0"/>
    <w:rPr>
      <w:rFonts w:ascii="Arial" w:hAnsi="Arial"/>
      <w:lang w:eastAsia="zh-CN"/>
    </w:rPr>
  </w:style>
  <w:style w:type="paragraph" w:customStyle="1" w:styleId="47">
    <w:name w:val="TAH"/>
    <w:basedOn w:val="48"/>
    <w:link w:val="52"/>
    <w:qFormat/>
    <w:uiPriority w:val="0"/>
    <w:rPr>
      <w:b/>
    </w:rPr>
  </w:style>
  <w:style w:type="paragraph" w:customStyle="1" w:styleId="48">
    <w:name w:val="TAC"/>
    <w:basedOn w:val="49"/>
    <w:link w:val="51"/>
    <w:qFormat/>
    <w:uiPriority w:val="0"/>
    <w:pPr>
      <w:jc w:val="center"/>
    </w:pPr>
  </w:style>
  <w:style w:type="paragraph" w:customStyle="1" w:styleId="49">
    <w:name w:val="TAL"/>
    <w:basedOn w:val="1"/>
    <w:link w:val="50"/>
    <w:qFormat/>
    <w:uiPriority w:val="0"/>
    <w:pPr>
      <w:keepNext/>
      <w:keepLines/>
      <w:overflowPunct/>
      <w:autoSpaceDE/>
      <w:autoSpaceDN/>
      <w:adjustRightInd/>
      <w:spacing w:after="0"/>
      <w:textAlignment w:val="auto"/>
    </w:pPr>
    <w:rPr>
      <w:rFonts w:eastAsia="等线"/>
      <w:sz w:val="18"/>
    </w:rPr>
  </w:style>
  <w:style w:type="character" w:customStyle="1" w:styleId="50">
    <w:name w:val="TAL Char"/>
    <w:link w:val="49"/>
    <w:qFormat/>
    <w:uiPriority w:val="0"/>
    <w:rPr>
      <w:rFonts w:ascii="Arial" w:hAnsi="Arial"/>
      <w:sz w:val="18"/>
      <w:lang w:eastAsia="en-US"/>
    </w:rPr>
  </w:style>
  <w:style w:type="character" w:customStyle="1" w:styleId="51">
    <w:name w:val="TAC Char"/>
    <w:link w:val="48"/>
    <w:qFormat/>
    <w:uiPriority w:val="0"/>
  </w:style>
  <w:style w:type="character" w:customStyle="1" w:styleId="52">
    <w:name w:val="TAH Char"/>
    <w:link w:val="47"/>
    <w:qFormat/>
    <w:uiPriority w:val="0"/>
    <w:rPr>
      <w:rFonts w:ascii="Arial" w:hAnsi="Arial"/>
      <w:b/>
      <w:sz w:val="18"/>
      <w:lang w:eastAsia="en-US"/>
    </w:rPr>
  </w:style>
  <w:style w:type="paragraph" w:customStyle="1" w:styleId="53">
    <w:name w:val="B4"/>
    <w:basedOn w:val="31"/>
    <w:qFormat/>
    <w:uiPriority w:val="0"/>
    <w:pPr>
      <w:ind w:left="1418"/>
    </w:pPr>
  </w:style>
  <w:style w:type="character" w:customStyle="1" w:styleId="54">
    <w:name w:val="B1 Char"/>
    <w:qFormat/>
    <w:uiPriority w:val="0"/>
    <w:rPr>
      <w:rFonts w:eastAsia="Times New Roman"/>
    </w:rPr>
  </w:style>
  <w:style w:type="character" w:customStyle="1" w:styleId="55">
    <w:name w:val="TF Zchn"/>
    <w:link w:val="36"/>
    <w:qFormat/>
    <w:uiPriority w:val="0"/>
    <w:rPr>
      <w:rFonts w:ascii="Arial" w:hAnsi="Arial" w:eastAsia="MS Mincho"/>
      <w:b/>
      <w:lang w:val="en-GB" w:eastAsia="en-US"/>
    </w:rPr>
  </w:style>
  <w:style w:type="character" w:customStyle="1" w:styleId="56">
    <w:name w:val="批注框文本 Char"/>
    <w:link w:val="14"/>
    <w:qFormat/>
    <w:uiPriority w:val="0"/>
    <w:rPr>
      <w:rFonts w:ascii="Arial" w:hAnsi="Arial" w:eastAsia="MS Mincho"/>
      <w:sz w:val="18"/>
      <w:szCs w:val="18"/>
      <w:lang w:val="en-GB" w:eastAsia="en-US"/>
    </w:rPr>
  </w:style>
  <w:style w:type="character" w:customStyle="1" w:styleId="57">
    <w:name w:val="批注文字 Char"/>
    <w:link w:val="10"/>
    <w:qFormat/>
    <w:uiPriority w:val="0"/>
    <w:rPr>
      <w:rFonts w:ascii="Arial" w:hAnsi="Arial" w:eastAsia="MS Mincho"/>
      <w:lang w:val="en-GB" w:eastAsia="en-US"/>
    </w:rPr>
  </w:style>
  <w:style w:type="character" w:customStyle="1" w:styleId="58">
    <w:name w:val="批注主题 Char"/>
    <w:link w:val="21"/>
    <w:qFormat/>
    <w:uiPriority w:val="0"/>
    <w:rPr>
      <w:rFonts w:ascii="Arial" w:hAnsi="Arial" w:eastAsia="MS Mincho"/>
      <w:b/>
      <w:bCs/>
      <w:lang w:val="en-GB" w:eastAsia="en-US"/>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0">
    <w:name w:val="TH Char"/>
    <w:link w:val="37"/>
    <w:qFormat/>
    <w:uiPriority w:val="0"/>
    <w:rPr>
      <w:rFonts w:ascii="Arial" w:hAnsi="Arial" w:eastAsia="MS Mincho"/>
      <w:b/>
      <w:lang w:val="en-GB" w:eastAsia="en-US"/>
    </w:rPr>
  </w:style>
  <w:style w:type="paragraph" w:customStyle="1" w:styleId="6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2">
    <w:name w:val="List Paragraph"/>
    <w:basedOn w:val="1"/>
    <w:link w:val="76"/>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customStyle="1" w:styleId="63">
    <w:name w:val="PL Char"/>
    <w:link w:val="64"/>
    <w:qFormat/>
    <w:locked/>
    <w:uiPriority w:val="0"/>
    <w:rPr>
      <w:rFonts w:ascii="Courier New" w:hAnsi="Courier New" w:cs="Courier New"/>
      <w:sz w:val="16"/>
      <w:lang w:val="en-GB" w:eastAsia="en-US" w:bidi="ar-SA"/>
    </w:rPr>
  </w:style>
  <w:style w:type="paragraph" w:customStyle="1" w:styleId="64">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5">
    <w:name w:val="NW"/>
    <w:basedOn w:val="35"/>
    <w:qFormat/>
    <w:uiPriority w:val="0"/>
    <w:pPr>
      <w:overflowPunct/>
      <w:autoSpaceDE/>
      <w:autoSpaceDN/>
      <w:adjustRightInd/>
      <w:spacing w:after="0"/>
      <w:textAlignment w:val="auto"/>
    </w:pPr>
    <w:rPr>
      <w:rFonts w:ascii="Times New Roman" w:hAnsi="Times New Roman" w:eastAsia="宋体"/>
    </w:rPr>
  </w:style>
  <w:style w:type="paragraph" w:customStyle="1" w:styleId="66">
    <w:name w:val="TAL + Left:  1"/>
    <w:basedOn w:val="49"/>
    <w:link w:val="67"/>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7">
    <w:name w:val="TAL + Left:  1;00 cm Char Char"/>
    <w:link w:val="66"/>
    <w:qFormat/>
    <w:uiPriority w:val="0"/>
    <w:rPr>
      <w:rFonts w:ascii="Arial" w:hAnsi="Arial" w:eastAsia="宋体" w:cs="Arial"/>
      <w:sz w:val="18"/>
      <w:szCs w:val="18"/>
      <w:lang w:val="en-GB" w:eastAsia="en-GB"/>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69">
    <w:name w:val="文档结构图 Char"/>
    <w:link w:val="9"/>
    <w:qFormat/>
    <w:uiPriority w:val="0"/>
    <w:rPr>
      <w:rFonts w:ascii="宋体" w:hAnsi="Arial" w:eastAsia="宋体"/>
      <w:sz w:val="18"/>
      <w:szCs w:val="18"/>
      <w:lang w:val="en-GB" w:eastAsia="en-US"/>
    </w:rPr>
  </w:style>
  <w:style w:type="paragraph" w:customStyle="1" w:styleId="70">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1">
    <w:name w:val="apple-converted-space"/>
    <w:basedOn w:val="24"/>
    <w:qFormat/>
    <w:uiPriority w:val="0"/>
  </w:style>
  <w:style w:type="character" w:customStyle="1" w:styleId="72">
    <w:name w:val="页眉 Char"/>
    <w:link w:val="16"/>
    <w:qFormat/>
    <w:uiPriority w:val="0"/>
    <w:rPr>
      <w:rFonts w:ascii="Arial" w:hAnsi="Arial" w:eastAsia="MS Mincho"/>
      <w:b/>
      <w:sz w:val="18"/>
      <w:lang w:val="en-US" w:eastAsia="en-US" w:bidi="ar-SA"/>
    </w:rPr>
  </w:style>
  <w:style w:type="character" w:customStyle="1" w:styleId="73">
    <w:name w:val="纯文本 Char"/>
    <w:basedOn w:val="24"/>
    <w:link w:val="13"/>
    <w:qFormat/>
    <w:uiPriority w:val="99"/>
    <w:rPr>
      <w:rFonts w:ascii="Calibri" w:hAnsi="Calibri" w:eastAsia="Calibri"/>
      <w:sz w:val="22"/>
      <w:szCs w:val="21"/>
      <w:lang w:val="en-GB" w:eastAsia="en-US"/>
    </w:rPr>
  </w:style>
  <w:style w:type="paragraph" w:customStyle="1" w:styleId="74">
    <w:name w:val="Revision"/>
    <w:hidden/>
    <w:semiHidden/>
    <w:qFormat/>
    <w:uiPriority w:val="99"/>
    <w:rPr>
      <w:rFonts w:ascii="Arial" w:hAnsi="Arial" w:eastAsia="MS Mincho" w:cs="Times New Roman"/>
      <w:lang w:val="en-GB" w:eastAsia="en-US" w:bidi="ar-SA"/>
    </w:rPr>
  </w:style>
  <w:style w:type="character" w:customStyle="1" w:styleId="75">
    <w:name w:val="CR Cover Page Zchn"/>
    <w:link w:val="28"/>
    <w:qFormat/>
    <w:uiPriority w:val="0"/>
    <w:rPr>
      <w:rFonts w:ascii="Arial" w:hAnsi="Arial" w:eastAsia="MS Mincho"/>
      <w:lang w:val="en-GB" w:eastAsia="en-US"/>
    </w:rPr>
  </w:style>
  <w:style w:type="character" w:customStyle="1" w:styleId="76">
    <w:name w:val="列出段落 Char"/>
    <w:link w:val="62"/>
    <w:qFormat/>
    <w:locked/>
    <w:uiPriority w:val="34"/>
    <w:rPr>
      <w:rFonts w:ascii="宋体" w:hAnsi="宋体" w:eastAsia="宋体" w:cs="宋体"/>
      <w:sz w:val="24"/>
      <w:szCs w:val="24"/>
    </w:rPr>
  </w:style>
  <w:style w:type="paragraph" w:customStyle="1" w:styleId="77">
    <w:name w:val="EW"/>
    <w:basedOn w:val="70"/>
    <w:qFormat/>
    <w:uiPriority w:val="0"/>
    <w:pPr>
      <w:spacing w:after="0"/>
    </w:pPr>
  </w:style>
  <w:style w:type="character" w:customStyle="1" w:styleId="78">
    <w:name w:val="B1 Zchn"/>
    <w:qFormat/>
    <w:uiPriority w:val="0"/>
    <w:rPr>
      <w:rFonts w:eastAsia="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4</Pages>
  <Words>1193</Words>
  <Characters>6806</Characters>
  <Lines>56</Lines>
  <Paragraphs>15</Paragraphs>
  <TotalTime>1</TotalTime>
  <ScaleCrop>false</ScaleCrop>
  <LinksUpToDate>false</LinksUpToDate>
  <CharactersWithSpaces>7984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2022-09-27T11:29:00Z</dcterms:created>
  <dc:creator>CMCC</dc:creator>
  <cp:lastModifiedBy>CMCC</cp:lastModifiedBy>
  <dcterms:modified xsi:type="dcterms:W3CDTF">2023-03-01T04:18:15Z</dcterms:modified>
  <dc:title>3GPP TSG-RAN WG3 Meeting #96bis NR Adhoc</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